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B19FB" w14:textId="77777777" w:rsidR="00CE2DD2" w:rsidRPr="007F3291" w:rsidRDefault="00A01FBF" w:rsidP="007F3291">
      <w:pPr>
        <w:spacing w:after="0" w:line="240" w:lineRule="auto"/>
        <w:rPr>
          <w:rFonts w:ascii="Times New Roman" w:eastAsia="Times New Roman" w:hAnsi="Times New Roman" w:cs="Times New Roman"/>
          <w:b/>
          <w:sz w:val="28"/>
          <w:lang w:val="en-GB"/>
        </w:rPr>
      </w:pPr>
      <w:r w:rsidRPr="007F3291">
        <w:rPr>
          <w:rFonts w:ascii="Times New Roman" w:eastAsia="Times New Roman" w:hAnsi="Times New Roman" w:cs="Times New Roman"/>
          <w:b/>
          <w:sz w:val="28"/>
          <w:lang w:val="en-GB"/>
        </w:rPr>
        <w:t>Population Projections in the European Demographic Data Sheet 2016</w:t>
      </w:r>
    </w:p>
    <w:p w14:paraId="7D80B4C8" w14:textId="77777777" w:rsidR="00CE2DD2" w:rsidRPr="007F3291" w:rsidRDefault="00CE2DD2" w:rsidP="007F3291">
      <w:pPr>
        <w:spacing w:after="0" w:line="240" w:lineRule="auto"/>
        <w:rPr>
          <w:rFonts w:ascii="Calibri" w:eastAsia="Calibri" w:hAnsi="Calibri" w:cs="Calibri"/>
          <w:lang w:val="en-GB"/>
        </w:rPr>
      </w:pPr>
    </w:p>
    <w:p w14:paraId="4DA44D93" w14:textId="77777777" w:rsidR="00CE2DD2" w:rsidRPr="007F3291" w:rsidRDefault="00CE2DD2" w:rsidP="007F3291">
      <w:pPr>
        <w:spacing w:after="0" w:line="240" w:lineRule="auto"/>
        <w:rPr>
          <w:rFonts w:ascii="Calibri" w:eastAsia="Calibri" w:hAnsi="Calibri" w:cs="Calibri"/>
          <w:lang w:val="en-GB"/>
        </w:rPr>
      </w:pPr>
    </w:p>
    <w:p w14:paraId="3340D00D" w14:textId="53222310"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 xml:space="preserve">Population projections have always been </w:t>
      </w:r>
      <w:r w:rsidR="00115FD0" w:rsidRPr="007F3291">
        <w:rPr>
          <w:rFonts w:ascii="Times New Roman" w:eastAsia="Times New Roman" w:hAnsi="Times New Roman" w:cs="Times New Roman"/>
          <w:sz w:val="24"/>
          <w:lang w:val="en-GB"/>
        </w:rPr>
        <w:t xml:space="preserve">an </w:t>
      </w:r>
      <w:r w:rsidRPr="007F3291">
        <w:rPr>
          <w:rFonts w:ascii="Times New Roman" w:eastAsia="Times New Roman" w:hAnsi="Times New Roman" w:cs="Times New Roman"/>
          <w:sz w:val="24"/>
          <w:lang w:val="en-GB"/>
        </w:rPr>
        <w:t xml:space="preserve">important aspect of the European Demographic Data Sheet since its first edition in 2006 as they illustrate the </w:t>
      </w:r>
      <w:r w:rsidR="00446392" w:rsidRPr="007F3291">
        <w:rPr>
          <w:rFonts w:ascii="Times New Roman" w:eastAsia="Times New Roman" w:hAnsi="Times New Roman" w:cs="Times New Roman"/>
          <w:sz w:val="24"/>
          <w:lang w:val="en-GB"/>
        </w:rPr>
        <w:t>long-</w:t>
      </w:r>
      <w:r w:rsidRPr="007F3291">
        <w:rPr>
          <w:rFonts w:ascii="Times New Roman" w:eastAsia="Times New Roman" w:hAnsi="Times New Roman" w:cs="Times New Roman"/>
          <w:sz w:val="24"/>
          <w:lang w:val="en-GB"/>
        </w:rPr>
        <w:t xml:space="preserve">term effect of the present population trends and shed a light </w:t>
      </w:r>
      <w:r w:rsidR="006050A4" w:rsidRPr="007F3291">
        <w:rPr>
          <w:rFonts w:ascii="Times New Roman" w:eastAsia="Times New Roman" w:hAnsi="Times New Roman" w:cs="Times New Roman"/>
          <w:sz w:val="24"/>
          <w:lang w:val="en-GB"/>
        </w:rPr>
        <w:t xml:space="preserve">on </w:t>
      </w:r>
      <w:r w:rsidRPr="007F3291">
        <w:rPr>
          <w:rFonts w:ascii="Times New Roman" w:eastAsia="Times New Roman" w:hAnsi="Times New Roman" w:cs="Times New Roman"/>
          <w:sz w:val="24"/>
          <w:lang w:val="en-GB"/>
        </w:rPr>
        <w:t xml:space="preserve">changes due to population ageing. Projections in each data sheet are built on regularly updated data on population by age and sex, and take into account </w:t>
      </w:r>
      <w:r w:rsidR="006050A4" w:rsidRPr="007F3291">
        <w:rPr>
          <w:rFonts w:ascii="Times New Roman" w:eastAsia="Times New Roman" w:hAnsi="Times New Roman" w:cs="Times New Roman"/>
          <w:sz w:val="24"/>
          <w:lang w:val="en-GB"/>
        </w:rPr>
        <w:t xml:space="preserve">up-to-date </w:t>
      </w:r>
      <w:r w:rsidRPr="007F3291">
        <w:rPr>
          <w:rFonts w:ascii="Times New Roman" w:eastAsia="Times New Roman" w:hAnsi="Times New Roman" w:cs="Times New Roman"/>
          <w:sz w:val="24"/>
          <w:lang w:val="en-GB"/>
        </w:rPr>
        <w:t xml:space="preserve">trends in fertility, mortality and migration. The standard cohort-component model is used to project the population by age and sex from 2015 to 2050. For simplicity, a scenario with and without migration is presented in the data sheet. In this issue, the scenario with migration </w:t>
      </w:r>
      <w:r w:rsidR="00894A88" w:rsidRPr="007F3291">
        <w:rPr>
          <w:rFonts w:ascii="Times New Roman" w:eastAsia="Times New Roman" w:hAnsi="Times New Roman" w:cs="Times New Roman"/>
          <w:sz w:val="24"/>
          <w:lang w:val="en-GB"/>
        </w:rPr>
        <w:t xml:space="preserve">also </w:t>
      </w:r>
      <w:r w:rsidRPr="007F3291">
        <w:rPr>
          <w:rFonts w:ascii="Times New Roman" w:eastAsia="Times New Roman" w:hAnsi="Times New Roman" w:cs="Times New Roman"/>
          <w:sz w:val="24"/>
          <w:lang w:val="en-GB"/>
        </w:rPr>
        <w:t>considers the impact of asylum</w:t>
      </w:r>
      <w:r w:rsidR="00894A88" w:rsidRPr="007F3291">
        <w:rPr>
          <w:rFonts w:ascii="Times New Roman" w:eastAsia="Times New Roman" w:hAnsi="Times New Roman" w:cs="Times New Roman"/>
          <w:sz w:val="24"/>
          <w:lang w:val="en-GB"/>
        </w:rPr>
        <w:t xml:space="preserve"> </w:t>
      </w:r>
      <w:r w:rsidRPr="007F3291">
        <w:rPr>
          <w:rFonts w:ascii="Times New Roman" w:eastAsia="Times New Roman" w:hAnsi="Times New Roman" w:cs="Times New Roman"/>
          <w:sz w:val="24"/>
          <w:lang w:val="en-GB"/>
        </w:rPr>
        <w:t>seekers.</w:t>
      </w:r>
    </w:p>
    <w:p w14:paraId="028CB6C9" w14:textId="3F17C341" w:rsidR="002D60CE"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 xml:space="preserve">In </w:t>
      </w:r>
      <w:r w:rsidR="00894A88" w:rsidRPr="007F3291">
        <w:rPr>
          <w:rFonts w:ascii="Times New Roman" w:eastAsia="Times New Roman" w:hAnsi="Times New Roman" w:cs="Times New Roman"/>
          <w:sz w:val="24"/>
          <w:lang w:val="en-GB"/>
        </w:rPr>
        <w:t xml:space="preserve">terms </w:t>
      </w:r>
      <w:r w:rsidRPr="007F3291">
        <w:rPr>
          <w:rFonts w:ascii="Times New Roman" w:eastAsia="Times New Roman" w:hAnsi="Times New Roman" w:cs="Times New Roman"/>
          <w:sz w:val="24"/>
          <w:lang w:val="en-GB"/>
        </w:rPr>
        <w:t>of scope, the projections are carried out for the following 43 countries</w:t>
      </w:r>
      <w:r w:rsidR="00656BEB" w:rsidRPr="007F3291">
        <w:rPr>
          <w:rFonts w:ascii="Times New Roman" w:eastAsia="Times New Roman" w:hAnsi="Times New Roman" w:cs="Times New Roman"/>
          <w:sz w:val="24"/>
          <w:lang w:val="en-GB"/>
        </w:rPr>
        <w:t>:</w:t>
      </w:r>
      <w:r w:rsidRPr="007F3291">
        <w:rPr>
          <w:rFonts w:ascii="Times New Roman" w:eastAsia="Times New Roman" w:hAnsi="Times New Roman" w:cs="Times New Roman"/>
          <w:sz w:val="24"/>
          <w:lang w:val="en-GB"/>
        </w:rPr>
        <w:t xml:space="preserve"> Albania, Armenia, Austria, Azerbaijan, Belarus, Belgium, Bulgaria, Croatia, Cyprus, Czech Republic, Denmark, Estonia, Finland, France (metropolitan, excluding overseas territories), Georgia, Germany, Greece, Hungary, Iceland, Ireland, Italy, Latvia, Lithuania, Luxembourg, Macedonia FYR, Malta, Moldova, Montenegro, Netherlands, Norway, Poland, Portugal, Romania, Russia, Serbia, Slovakia, Slovenia, Spain, Sweden, Switzerland, Turkey, Ukraine, United Kingdom. </w:t>
      </w:r>
      <w:r w:rsidR="00656BEB" w:rsidRPr="007F3291">
        <w:rPr>
          <w:rFonts w:ascii="Times New Roman" w:eastAsia="Times New Roman" w:hAnsi="Times New Roman" w:cs="Times New Roman"/>
          <w:sz w:val="24"/>
          <w:lang w:val="en-GB"/>
        </w:rPr>
        <w:t xml:space="preserve">Countries with </w:t>
      </w:r>
      <w:r w:rsidR="001F2D67" w:rsidRPr="007F3291">
        <w:rPr>
          <w:rFonts w:ascii="Times New Roman" w:eastAsia="Times New Roman" w:hAnsi="Times New Roman" w:cs="Times New Roman"/>
          <w:sz w:val="24"/>
          <w:lang w:val="en-GB"/>
        </w:rPr>
        <w:t xml:space="preserve">a </w:t>
      </w:r>
      <w:r w:rsidR="00656BEB" w:rsidRPr="007F3291">
        <w:rPr>
          <w:rFonts w:ascii="Times New Roman" w:eastAsia="Times New Roman" w:hAnsi="Times New Roman" w:cs="Times New Roman"/>
          <w:sz w:val="24"/>
          <w:lang w:val="en-GB"/>
        </w:rPr>
        <w:t>total population below 100</w:t>
      </w:r>
      <w:r w:rsidR="001F2D67" w:rsidRPr="007F3291">
        <w:rPr>
          <w:rFonts w:ascii="Times New Roman" w:eastAsia="Times New Roman" w:hAnsi="Times New Roman" w:cs="Times New Roman"/>
          <w:sz w:val="24"/>
          <w:lang w:val="en-GB"/>
        </w:rPr>
        <w:t>,</w:t>
      </w:r>
      <w:r w:rsidR="00656BEB" w:rsidRPr="007F3291">
        <w:rPr>
          <w:rFonts w:ascii="Times New Roman" w:eastAsia="Times New Roman" w:hAnsi="Times New Roman" w:cs="Times New Roman"/>
          <w:sz w:val="24"/>
          <w:lang w:val="en-GB"/>
        </w:rPr>
        <w:t xml:space="preserve">000 (Andorra, Liechtenstein, Monaco and San Marino), </w:t>
      </w:r>
      <w:r w:rsidRPr="007F3291">
        <w:rPr>
          <w:rFonts w:ascii="Times New Roman" w:eastAsia="Times New Roman" w:hAnsi="Times New Roman" w:cs="Times New Roman"/>
          <w:sz w:val="24"/>
          <w:lang w:val="en-GB"/>
        </w:rPr>
        <w:t>are excluded from the projection effort</w:t>
      </w:r>
      <w:r w:rsidR="001F2D67" w:rsidRPr="007F3291">
        <w:rPr>
          <w:rFonts w:ascii="Times New Roman" w:eastAsia="Times New Roman" w:hAnsi="Times New Roman" w:cs="Times New Roman"/>
          <w:sz w:val="24"/>
          <w:lang w:val="en-GB"/>
        </w:rPr>
        <w:t>, just</w:t>
      </w:r>
      <w:r w:rsidRPr="007F3291">
        <w:rPr>
          <w:rFonts w:ascii="Times New Roman" w:eastAsia="Times New Roman" w:hAnsi="Times New Roman" w:cs="Times New Roman"/>
          <w:sz w:val="24"/>
          <w:lang w:val="en-GB"/>
        </w:rPr>
        <w:t xml:space="preserve"> as countries with unavailable detailed data</w:t>
      </w:r>
      <w:r w:rsidR="00656BEB" w:rsidRPr="007F3291">
        <w:rPr>
          <w:rFonts w:ascii="Times New Roman" w:eastAsia="Times New Roman" w:hAnsi="Times New Roman" w:cs="Times New Roman"/>
          <w:sz w:val="24"/>
          <w:lang w:val="en-GB"/>
        </w:rPr>
        <w:t xml:space="preserve"> (</w:t>
      </w:r>
      <w:r w:rsidRPr="007F3291">
        <w:rPr>
          <w:rFonts w:ascii="Times New Roman" w:eastAsia="Times New Roman" w:hAnsi="Times New Roman" w:cs="Times New Roman"/>
          <w:sz w:val="24"/>
          <w:lang w:val="en-GB"/>
        </w:rPr>
        <w:t>Bosnia-Herzegovina and Kosovo</w:t>
      </w:r>
      <w:r w:rsidR="00656BEB" w:rsidRPr="007F3291">
        <w:rPr>
          <w:rFonts w:ascii="Times New Roman" w:eastAsia="Times New Roman" w:hAnsi="Times New Roman" w:cs="Times New Roman"/>
          <w:sz w:val="24"/>
          <w:lang w:val="en-GB"/>
        </w:rPr>
        <w:t>)</w:t>
      </w:r>
      <w:r w:rsidRPr="007F3291">
        <w:rPr>
          <w:rFonts w:ascii="Times New Roman" w:eastAsia="Times New Roman" w:hAnsi="Times New Roman" w:cs="Times New Roman"/>
          <w:sz w:val="24"/>
          <w:lang w:val="en-GB"/>
        </w:rPr>
        <w:t>.</w:t>
      </w:r>
      <w:r w:rsidR="002D60CE" w:rsidRPr="007F3291">
        <w:rPr>
          <w:rFonts w:ascii="Times New Roman" w:eastAsia="Times New Roman" w:hAnsi="Times New Roman" w:cs="Times New Roman"/>
          <w:sz w:val="24"/>
          <w:lang w:val="en-GB"/>
        </w:rPr>
        <w:t xml:space="preserve"> For Japan and </w:t>
      </w:r>
      <w:r w:rsidR="001F2D67" w:rsidRPr="007F3291">
        <w:rPr>
          <w:rFonts w:ascii="Times New Roman" w:eastAsia="Times New Roman" w:hAnsi="Times New Roman" w:cs="Times New Roman"/>
          <w:sz w:val="24"/>
          <w:lang w:val="en-GB"/>
        </w:rPr>
        <w:t xml:space="preserve">the </w:t>
      </w:r>
      <w:r w:rsidR="002D60CE" w:rsidRPr="007F3291">
        <w:rPr>
          <w:rFonts w:ascii="Times New Roman" w:eastAsia="Times New Roman" w:hAnsi="Times New Roman" w:cs="Times New Roman"/>
          <w:sz w:val="24"/>
          <w:lang w:val="en-GB"/>
        </w:rPr>
        <w:t xml:space="preserve">USA this Data Sheet features results from </w:t>
      </w:r>
      <w:r w:rsidR="00420EC8" w:rsidRPr="007F3291">
        <w:rPr>
          <w:rFonts w:ascii="Times New Roman" w:eastAsia="Times New Roman" w:hAnsi="Times New Roman" w:cs="Times New Roman"/>
          <w:sz w:val="24"/>
          <w:lang w:val="en-GB"/>
        </w:rPr>
        <w:t>the United Nations population projections</w:t>
      </w:r>
      <w:r w:rsidR="002D60CE" w:rsidRPr="007F3291">
        <w:rPr>
          <w:rFonts w:ascii="Times New Roman" w:eastAsia="Times New Roman" w:hAnsi="Times New Roman" w:cs="Times New Roman"/>
          <w:sz w:val="24"/>
          <w:lang w:val="en-GB"/>
        </w:rPr>
        <w:t xml:space="preserve"> (</w:t>
      </w:r>
      <w:r w:rsidR="00420EC8" w:rsidRPr="007F3291">
        <w:rPr>
          <w:rFonts w:ascii="Times New Roman" w:eastAsia="Times New Roman" w:hAnsi="Times New Roman" w:cs="Times New Roman"/>
          <w:sz w:val="24"/>
          <w:lang w:val="en-GB"/>
        </w:rPr>
        <w:t>UN 2015</w:t>
      </w:r>
      <w:r w:rsidR="002D60CE" w:rsidRPr="007F3291">
        <w:rPr>
          <w:rFonts w:ascii="Times New Roman" w:eastAsia="Times New Roman" w:hAnsi="Times New Roman" w:cs="Times New Roman"/>
          <w:sz w:val="24"/>
          <w:lang w:val="en-GB"/>
        </w:rPr>
        <w:t>).</w:t>
      </w:r>
    </w:p>
    <w:p w14:paraId="68F935BC" w14:textId="77777777" w:rsidR="00DF24BB" w:rsidRPr="007F3291" w:rsidRDefault="00DF24BB" w:rsidP="007F3291">
      <w:pPr>
        <w:spacing w:before="100" w:after="100" w:line="240" w:lineRule="auto"/>
        <w:jc w:val="both"/>
        <w:rPr>
          <w:rFonts w:ascii="Times New Roman" w:eastAsia="Times New Roman" w:hAnsi="Times New Roman" w:cs="Times New Roman"/>
          <w:sz w:val="24"/>
          <w:lang w:val="en-GB"/>
        </w:rPr>
      </w:pPr>
    </w:p>
    <w:p w14:paraId="0765E4D1" w14:textId="77777777" w:rsidR="00DF24BB" w:rsidRPr="007F3291" w:rsidRDefault="00DF24BB" w:rsidP="007F3291">
      <w:pPr>
        <w:spacing w:after="0" w:line="240" w:lineRule="auto"/>
        <w:rPr>
          <w:rFonts w:ascii="Times New Roman" w:eastAsia="Times New Roman" w:hAnsi="Times New Roman" w:cs="Times New Roman"/>
          <w:b/>
          <w:i/>
          <w:sz w:val="24"/>
          <w:lang w:val="en-GB"/>
        </w:rPr>
      </w:pPr>
      <w:r w:rsidRPr="007F3291">
        <w:rPr>
          <w:rFonts w:ascii="Times New Roman" w:eastAsia="Times New Roman" w:hAnsi="Times New Roman" w:cs="Times New Roman"/>
          <w:b/>
          <w:i/>
          <w:sz w:val="24"/>
          <w:lang w:val="en-GB"/>
        </w:rPr>
        <w:t>Baseline data</w:t>
      </w:r>
    </w:p>
    <w:p w14:paraId="0981533D" w14:textId="0ECEC048"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Two scenarios are produced: with and without migration. The initial baseline data</w:t>
      </w:r>
      <w:r w:rsidR="00420EC8" w:rsidRPr="007F3291">
        <w:rPr>
          <w:rFonts w:ascii="Times New Roman" w:eastAsia="Times New Roman" w:hAnsi="Times New Roman" w:cs="Times New Roman"/>
          <w:sz w:val="24"/>
          <w:lang w:val="en-GB"/>
        </w:rPr>
        <w:t xml:space="preserve"> </w:t>
      </w:r>
      <w:r w:rsidR="00420EC8" w:rsidRPr="007F3291">
        <w:rPr>
          <w:rFonts w:ascii="Segoe UI Symbol" w:eastAsia="Times New Roman" w:hAnsi="Segoe UI Symbol" w:cs="Times New Roman"/>
          <w:sz w:val="24"/>
          <w:lang w:val="en-GB"/>
        </w:rPr>
        <w:t>–</w:t>
      </w:r>
      <w:r w:rsidR="00420EC8" w:rsidRPr="007F3291">
        <w:rPr>
          <w:rFonts w:ascii="Times New Roman" w:eastAsia="Times New Roman" w:hAnsi="Times New Roman" w:cs="Times New Roman"/>
          <w:sz w:val="24"/>
          <w:lang w:val="en-GB"/>
        </w:rPr>
        <w:t xml:space="preserve"> </w:t>
      </w:r>
      <w:r w:rsidRPr="007F3291">
        <w:rPr>
          <w:rFonts w:ascii="Times New Roman" w:eastAsia="Times New Roman" w:hAnsi="Times New Roman" w:cs="Times New Roman"/>
          <w:sz w:val="24"/>
          <w:lang w:val="en-GB"/>
        </w:rPr>
        <w:t>population by age and sex as of 1 January 2015</w:t>
      </w:r>
      <w:r w:rsidR="00420EC8" w:rsidRPr="007F3291">
        <w:rPr>
          <w:rFonts w:ascii="Times New Roman" w:eastAsia="Times New Roman" w:hAnsi="Times New Roman" w:cs="Times New Roman"/>
          <w:sz w:val="24"/>
          <w:lang w:val="en-GB"/>
        </w:rPr>
        <w:t xml:space="preserve"> – </w:t>
      </w:r>
      <w:r w:rsidR="00097875" w:rsidRPr="007F3291">
        <w:rPr>
          <w:rFonts w:ascii="Times New Roman" w:eastAsia="Times New Roman" w:hAnsi="Times New Roman" w:cs="Times New Roman"/>
          <w:sz w:val="24"/>
          <w:lang w:val="en-GB"/>
        </w:rPr>
        <w:t xml:space="preserve">are </w:t>
      </w:r>
      <w:r w:rsidRPr="007F3291">
        <w:rPr>
          <w:rFonts w:ascii="Times New Roman" w:eastAsia="Times New Roman" w:hAnsi="Times New Roman" w:cs="Times New Roman"/>
          <w:sz w:val="24"/>
          <w:lang w:val="en-GB"/>
        </w:rPr>
        <w:t xml:space="preserve">mostly collected from Eurostat database. Data for Armenia, Azerbaijan, Belarus, France, Georgia, Russia and Ukraine were retrieved from </w:t>
      </w:r>
      <w:r w:rsidR="00DC757F" w:rsidRPr="007F3291">
        <w:rPr>
          <w:rFonts w:ascii="Times New Roman" w:eastAsia="Times New Roman" w:hAnsi="Times New Roman" w:cs="Times New Roman"/>
          <w:sz w:val="24"/>
          <w:lang w:val="en-GB"/>
        </w:rPr>
        <w:t xml:space="preserve">the </w:t>
      </w:r>
      <w:r w:rsidRPr="007F3291">
        <w:rPr>
          <w:rFonts w:ascii="Times New Roman" w:eastAsia="Times New Roman" w:hAnsi="Times New Roman" w:cs="Times New Roman"/>
          <w:sz w:val="24"/>
          <w:lang w:val="en-GB"/>
        </w:rPr>
        <w:t xml:space="preserve">national statistical offices. For Georgia we derive distribution by single-year of age from 5-year age groups. Data for Moldova are taken from a recent comprehensive paper by </w:t>
      </w:r>
      <w:proofErr w:type="spellStart"/>
      <w:r w:rsidRPr="007F3291">
        <w:rPr>
          <w:rFonts w:ascii="Times New Roman" w:eastAsia="Times New Roman" w:hAnsi="Times New Roman" w:cs="Times New Roman"/>
          <w:sz w:val="24"/>
          <w:lang w:val="en-GB"/>
        </w:rPr>
        <w:t>Penina</w:t>
      </w:r>
      <w:proofErr w:type="spellEnd"/>
      <w:r w:rsidRPr="007F3291">
        <w:rPr>
          <w:rFonts w:ascii="Times New Roman" w:eastAsia="Times New Roman" w:hAnsi="Times New Roman" w:cs="Times New Roman"/>
          <w:sz w:val="24"/>
          <w:lang w:val="en-GB"/>
        </w:rPr>
        <w:t xml:space="preserve"> et al. (2015). For Belarus and Azerbaijan the starting projection year is 2014, the last year for which the population by sex and single year was available at the time of extraction.</w:t>
      </w:r>
    </w:p>
    <w:p w14:paraId="41630322" w14:textId="77777777" w:rsidR="00CE2DD2" w:rsidRPr="00AA614F" w:rsidRDefault="00A01FBF" w:rsidP="00AA614F">
      <w:pPr>
        <w:spacing w:before="100" w:after="100" w:line="240" w:lineRule="auto"/>
        <w:jc w:val="both"/>
        <w:rPr>
          <w:rFonts w:ascii="Times New Roman" w:hAnsi="Times New Roman" w:cs="Times New Roman"/>
          <w:sz w:val="24"/>
        </w:rPr>
      </w:pPr>
      <w:r w:rsidRPr="00AA614F">
        <w:rPr>
          <w:rFonts w:ascii="Times New Roman" w:hAnsi="Times New Roman" w:cs="Times New Roman"/>
          <w:sz w:val="24"/>
        </w:rPr>
        <w:t>The total fertility rates (TFR) and the age schedule for fertility for the starting year rely on the information available for 2014. For a limited number of countries the latest available data pertain to 2013 (Armenia, Azerbaijan, Belarus, and Moldova) and 2010 (Georgia).  The 2014 fertility data are based on the official vital statistics and population data, reported by Eurostat (2016), except for Armenia, Moldova and Ukraine (HFC 2016), France (INSEE 2016), and Russia (The Russian Fertility and Mortality Database 2016).</w:t>
      </w:r>
    </w:p>
    <w:p w14:paraId="0E7BFD21" w14:textId="461A5B2B" w:rsidR="00CE2DD2" w:rsidRPr="007F3291" w:rsidRDefault="00A01FBF" w:rsidP="007F3291">
      <w:pPr>
        <w:spacing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 xml:space="preserve">The information for life expectancy at birth by sex for the base year </w:t>
      </w:r>
      <w:r w:rsidR="004E3D99" w:rsidRPr="007F3291">
        <w:rPr>
          <w:rFonts w:ascii="Times New Roman" w:eastAsia="Times New Roman" w:hAnsi="Times New Roman" w:cs="Times New Roman"/>
          <w:sz w:val="24"/>
          <w:lang w:val="en-GB"/>
        </w:rPr>
        <w:t xml:space="preserve">was </w:t>
      </w:r>
      <w:r w:rsidRPr="007F3291">
        <w:rPr>
          <w:rFonts w:ascii="Times New Roman" w:eastAsia="Times New Roman" w:hAnsi="Times New Roman" w:cs="Times New Roman"/>
          <w:sz w:val="24"/>
          <w:lang w:val="en-GB"/>
        </w:rPr>
        <w:t xml:space="preserve">mostly retrieved from </w:t>
      </w:r>
      <w:r w:rsidR="00BB12D8" w:rsidRPr="007F3291">
        <w:rPr>
          <w:rFonts w:ascii="Times New Roman" w:eastAsia="Times New Roman" w:hAnsi="Times New Roman" w:cs="Times New Roman"/>
          <w:sz w:val="24"/>
          <w:lang w:val="en-GB"/>
        </w:rPr>
        <w:t xml:space="preserve">the </w:t>
      </w:r>
      <w:r w:rsidRPr="007F3291">
        <w:rPr>
          <w:rFonts w:ascii="Times New Roman" w:eastAsia="Times New Roman" w:hAnsi="Times New Roman" w:cs="Times New Roman"/>
          <w:sz w:val="24"/>
          <w:lang w:val="en-GB"/>
        </w:rPr>
        <w:t xml:space="preserve">Eurostat database (2016) and refers to the year 2014 (for Belarus and Azerbaijan </w:t>
      </w:r>
      <w:r w:rsidR="00BB12D8" w:rsidRPr="007F3291">
        <w:rPr>
          <w:rFonts w:ascii="Times New Roman" w:eastAsia="Times New Roman" w:hAnsi="Times New Roman" w:cs="Times New Roman"/>
          <w:sz w:val="24"/>
          <w:lang w:val="en-GB"/>
        </w:rPr>
        <w:t xml:space="preserve">it </w:t>
      </w:r>
      <w:r w:rsidRPr="007F3291">
        <w:rPr>
          <w:rFonts w:ascii="Times New Roman" w:eastAsia="Times New Roman" w:hAnsi="Times New Roman" w:cs="Times New Roman"/>
          <w:sz w:val="24"/>
          <w:lang w:val="en-GB"/>
        </w:rPr>
        <w:t xml:space="preserve">is 2013). Mortality data for Armenia, France, Georgia, Russia and Ukraine were collected from </w:t>
      </w:r>
      <w:r w:rsidR="004E3D99" w:rsidRPr="007F3291">
        <w:rPr>
          <w:rFonts w:ascii="Times New Roman" w:eastAsia="Times New Roman" w:hAnsi="Times New Roman" w:cs="Times New Roman"/>
          <w:sz w:val="24"/>
          <w:lang w:val="en-GB"/>
        </w:rPr>
        <w:t xml:space="preserve">the </w:t>
      </w:r>
      <w:r w:rsidRPr="007F3291">
        <w:rPr>
          <w:rFonts w:ascii="Times New Roman" w:eastAsia="Times New Roman" w:hAnsi="Times New Roman" w:cs="Times New Roman"/>
          <w:sz w:val="24"/>
          <w:lang w:val="en-GB"/>
        </w:rPr>
        <w:t xml:space="preserve">national statistical offices. Data for Moldova </w:t>
      </w:r>
      <w:r w:rsidR="004E3D99" w:rsidRPr="007F3291">
        <w:rPr>
          <w:rFonts w:ascii="Times New Roman" w:eastAsia="Times New Roman" w:hAnsi="Times New Roman" w:cs="Times New Roman"/>
          <w:sz w:val="24"/>
          <w:lang w:val="en-GB"/>
        </w:rPr>
        <w:t xml:space="preserve">were </w:t>
      </w:r>
      <w:r w:rsidRPr="007F3291">
        <w:rPr>
          <w:rFonts w:ascii="Times New Roman" w:eastAsia="Times New Roman" w:hAnsi="Times New Roman" w:cs="Times New Roman"/>
          <w:sz w:val="24"/>
          <w:lang w:val="en-GB"/>
        </w:rPr>
        <w:t xml:space="preserve">taken from </w:t>
      </w:r>
      <w:proofErr w:type="spellStart"/>
      <w:r w:rsidRPr="007F3291">
        <w:rPr>
          <w:rFonts w:ascii="Times New Roman" w:eastAsia="Times New Roman" w:hAnsi="Times New Roman" w:cs="Times New Roman"/>
          <w:sz w:val="24"/>
          <w:lang w:val="en-GB"/>
        </w:rPr>
        <w:t>Penina</w:t>
      </w:r>
      <w:proofErr w:type="spellEnd"/>
      <w:r w:rsidRPr="007F3291">
        <w:rPr>
          <w:rFonts w:ascii="Times New Roman" w:eastAsia="Times New Roman" w:hAnsi="Times New Roman" w:cs="Times New Roman"/>
          <w:sz w:val="24"/>
          <w:lang w:val="en-GB"/>
        </w:rPr>
        <w:t xml:space="preserve"> et al. (2015).</w:t>
      </w:r>
    </w:p>
    <w:p w14:paraId="45AAA34B" w14:textId="6CD600E6"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Probabilities of death by age and sex originate mostly from Eurostat</w:t>
      </w:r>
      <w:r w:rsidR="001C60BE" w:rsidRPr="007F3291">
        <w:rPr>
          <w:rFonts w:ascii="Times New Roman" w:eastAsia="Times New Roman" w:hAnsi="Times New Roman" w:cs="Times New Roman"/>
          <w:sz w:val="24"/>
          <w:lang w:val="en-GB"/>
        </w:rPr>
        <w:t xml:space="preserve"> as well</w:t>
      </w:r>
      <w:r w:rsidRPr="007F3291">
        <w:rPr>
          <w:rFonts w:ascii="Times New Roman" w:eastAsia="Times New Roman" w:hAnsi="Times New Roman" w:cs="Times New Roman"/>
          <w:sz w:val="24"/>
          <w:lang w:val="en-GB"/>
        </w:rPr>
        <w:t xml:space="preserve">. The last available year at the time of extraction is 2014, except for Azerbaijan (2013), Belarus (2013), </w:t>
      </w:r>
      <w:r w:rsidR="001C60BE" w:rsidRPr="007F3291">
        <w:rPr>
          <w:rFonts w:ascii="Times New Roman" w:eastAsia="Times New Roman" w:hAnsi="Times New Roman" w:cs="Times New Roman"/>
          <w:sz w:val="24"/>
          <w:lang w:val="en-GB"/>
        </w:rPr>
        <w:t xml:space="preserve">Ukraine (2012) </w:t>
      </w:r>
      <w:r w:rsidR="001C60BE" w:rsidRPr="007F3291">
        <w:rPr>
          <w:rFonts w:ascii="Times New Roman" w:eastAsia="Times New Roman" w:hAnsi="Times New Roman" w:cs="Times New Roman"/>
          <w:sz w:val="24"/>
          <w:lang w:val="en-GB"/>
        </w:rPr>
        <w:lastRenderedPageBreak/>
        <w:t xml:space="preserve">and </w:t>
      </w:r>
      <w:r w:rsidRPr="007F3291">
        <w:rPr>
          <w:rFonts w:ascii="Times New Roman" w:eastAsia="Times New Roman" w:hAnsi="Times New Roman" w:cs="Times New Roman"/>
          <w:sz w:val="24"/>
          <w:lang w:val="en-GB"/>
        </w:rPr>
        <w:t xml:space="preserve">Georgia (2011). For the following countries data are from national statistical offices: </w:t>
      </w:r>
      <w:r w:rsidR="00BA5394" w:rsidRPr="007F3291">
        <w:rPr>
          <w:rFonts w:ascii="Times New Roman" w:eastAsia="Times New Roman" w:hAnsi="Times New Roman" w:cs="Times New Roman"/>
          <w:sz w:val="24"/>
          <w:lang w:val="en-GB"/>
        </w:rPr>
        <w:t xml:space="preserve">Russia (2014), </w:t>
      </w:r>
      <w:r w:rsidRPr="007F3291">
        <w:rPr>
          <w:rFonts w:ascii="Times New Roman" w:eastAsia="Times New Roman" w:hAnsi="Times New Roman" w:cs="Times New Roman"/>
          <w:sz w:val="24"/>
          <w:lang w:val="en-GB"/>
        </w:rPr>
        <w:t>France (2011</w:t>
      </w:r>
      <w:r w:rsidR="001C60BE" w:rsidRPr="007F3291">
        <w:rPr>
          <w:rFonts w:ascii="Times New Roman" w:eastAsia="Times New Roman" w:hAnsi="Times New Roman" w:cs="Times New Roman"/>
          <w:sz w:val="24"/>
          <w:lang w:val="en-GB"/>
        </w:rPr>
        <w:t>–</w:t>
      </w:r>
      <w:r w:rsidRPr="007F3291">
        <w:rPr>
          <w:rFonts w:ascii="Times New Roman" w:eastAsia="Times New Roman" w:hAnsi="Times New Roman" w:cs="Times New Roman"/>
          <w:sz w:val="24"/>
          <w:lang w:val="en-GB"/>
        </w:rPr>
        <w:t xml:space="preserve">2013) </w:t>
      </w:r>
      <w:r w:rsidR="00BA5394" w:rsidRPr="007F3291">
        <w:rPr>
          <w:rFonts w:ascii="Times New Roman" w:eastAsia="Times New Roman" w:hAnsi="Times New Roman" w:cs="Times New Roman"/>
          <w:sz w:val="24"/>
          <w:lang w:val="en-GB"/>
        </w:rPr>
        <w:t xml:space="preserve">and </w:t>
      </w:r>
      <w:r w:rsidRPr="007F3291">
        <w:rPr>
          <w:rFonts w:ascii="Times New Roman" w:eastAsia="Times New Roman" w:hAnsi="Times New Roman" w:cs="Times New Roman"/>
          <w:sz w:val="24"/>
          <w:lang w:val="en-GB"/>
        </w:rPr>
        <w:t xml:space="preserve">Armenia (2012). Data for Moldova are from </w:t>
      </w:r>
      <w:proofErr w:type="spellStart"/>
      <w:r w:rsidRPr="007F3291">
        <w:rPr>
          <w:rFonts w:ascii="Times New Roman" w:eastAsia="Times New Roman" w:hAnsi="Times New Roman" w:cs="Times New Roman"/>
          <w:sz w:val="24"/>
          <w:lang w:val="en-GB"/>
        </w:rPr>
        <w:t>Penina</w:t>
      </w:r>
      <w:proofErr w:type="spellEnd"/>
      <w:r w:rsidRPr="007F3291">
        <w:rPr>
          <w:rFonts w:ascii="Times New Roman" w:eastAsia="Times New Roman" w:hAnsi="Times New Roman" w:cs="Times New Roman"/>
          <w:sz w:val="24"/>
          <w:lang w:val="en-GB"/>
        </w:rPr>
        <w:t xml:space="preserve"> et al. (2015).</w:t>
      </w:r>
    </w:p>
    <w:p w14:paraId="3E4758F3" w14:textId="6E324C7B"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 xml:space="preserve">Reliable </w:t>
      </w:r>
      <w:r w:rsidR="00BA5394" w:rsidRPr="007F3291">
        <w:rPr>
          <w:rFonts w:ascii="Times New Roman" w:eastAsia="Times New Roman" w:hAnsi="Times New Roman" w:cs="Times New Roman"/>
          <w:sz w:val="24"/>
          <w:lang w:val="en-GB"/>
        </w:rPr>
        <w:t xml:space="preserve">harmonised </w:t>
      </w:r>
      <w:r w:rsidRPr="007F3291">
        <w:rPr>
          <w:rFonts w:ascii="Times New Roman" w:eastAsia="Times New Roman" w:hAnsi="Times New Roman" w:cs="Times New Roman"/>
          <w:sz w:val="24"/>
          <w:lang w:val="en-GB"/>
        </w:rPr>
        <w:t xml:space="preserve">migration estimates for all countries are difficult to obtain, </w:t>
      </w:r>
      <w:r w:rsidR="00942A01" w:rsidRPr="007F3291">
        <w:rPr>
          <w:rFonts w:ascii="Times New Roman" w:eastAsia="Times New Roman" w:hAnsi="Times New Roman" w:cs="Times New Roman"/>
          <w:sz w:val="24"/>
          <w:lang w:val="en-GB"/>
        </w:rPr>
        <w:t xml:space="preserve">as </w:t>
      </w:r>
      <w:r w:rsidRPr="007F3291">
        <w:rPr>
          <w:rFonts w:ascii="Times New Roman" w:eastAsia="Times New Roman" w:hAnsi="Times New Roman" w:cs="Times New Roman"/>
          <w:sz w:val="24"/>
          <w:lang w:val="en-GB"/>
        </w:rPr>
        <w:t xml:space="preserve">the starting data on the total number of net migrants rely on different sources of information. For the following countries we consider the number of net migrants available from Eurostat for 2014: Austria, Belgium, Cyprus, Denmark, Finland, France (metropolitan), Germany, Greece, Iceland, Italy, Luxembourg, Malta, Netherlands, Norway, Portugal, Sweden, Switzerland and United Kingdom. For Albania, Azerbaijan, Belarus, Bulgaria, Croatia, </w:t>
      </w:r>
      <w:r w:rsidR="00942A01" w:rsidRPr="007F3291">
        <w:rPr>
          <w:rFonts w:ascii="Times New Roman" w:eastAsia="Times New Roman" w:hAnsi="Times New Roman" w:cs="Times New Roman"/>
          <w:sz w:val="24"/>
          <w:lang w:val="en-GB"/>
        </w:rPr>
        <w:t xml:space="preserve">the </w:t>
      </w:r>
      <w:r w:rsidRPr="007F3291">
        <w:rPr>
          <w:rFonts w:ascii="Times New Roman" w:eastAsia="Times New Roman" w:hAnsi="Times New Roman" w:cs="Times New Roman"/>
          <w:sz w:val="24"/>
          <w:lang w:val="en-GB"/>
        </w:rPr>
        <w:t xml:space="preserve">Czech Republic, Georgia, Hungary, Ireland, Macedonia FYR, Moldova, Montenegro, Poland, Romania, Serbia, Slovakia, Slovenia and Ukraine we estimate the number of net migrants based on the information on the population by </w:t>
      </w:r>
      <w:bookmarkStart w:id="0" w:name="_GoBack"/>
      <w:bookmarkEnd w:id="0"/>
      <w:r w:rsidRPr="007F3291">
        <w:rPr>
          <w:rFonts w:ascii="Times New Roman" w:eastAsia="Times New Roman" w:hAnsi="Times New Roman" w:cs="Times New Roman"/>
          <w:sz w:val="24"/>
          <w:lang w:val="en-GB"/>
        </w:rPr>
        <w:t xml:space="preserve">country of birth for the years 2014 and 2015, available at Eurostat, for different EU countries. For Armenia and Russia the number of net migrants for 2014 is based on the estimation by the Wittgenstein Centre for Population and Global Human Capital (see Lutz, </w:t>
      </w:r>
      <w:proofErr w:type="spellStart"/>
      <w:r w:rsidRPr="007F3291">
        <w:rPr>
          <w:rFonts w:ascii="Times New Roman" w:eastAsia="Times New Roman" w:hAnsi="Times New Roman" w:cs="Times New Roman"/>
          <w:sz w:val="24"/>
          <w:lang w:val="en-GB"/>
        </w:rPr>
        <w:t>Butz</w:t>
      </w:r>
      <w:proofErr w:type="spellEnd"/>
      <w:r w:rsidRPr="007F3291">
        <w:rPr>
          <w:rFonts w:ascii="Times New Roman" w:eastAsia="Times New Roman" w:hAnsi="Times New Roman" w:cs="Times New Roman"/>
          <w:sz w:val="24"/>
          <w:lang w:val="en-GB"/>
        </w:rPr>
        <w:t xml:space="preserve"> </w:t>
      </w:r>
      <w:r w:rsidR="00724D00" w:rsidRPr="007F3291">
        <w:rPr>
          <w:rFonts w:ascii="Times New Roman" w:eastAsia="Times New Roman" w:hAnsi="Times New Roman" w:cs="Times New Roman"/>
          <w:sz w:val="24"/>
          <w:lang w:val="en-GB"/>
        </w:rPr>
        <w:t xml:space="preserve">and </w:t>
      </w:r>
      <w:r w:rsidRPr="007F3291">
        <w:rPr>
          <w:rFonts w:ascii="Times New Roman" w:eastAsia="Times New Roman" w:hAnsi="Times New Roman" w:cs="Times New Roman"/>
          <w:sz w:val="24"/>
          <w:lang w:val="en-GB"/>
        </w:rPr>
        <w:t xml:space="preserve">KC 2014). For Estonia, Latvia and Lithuania we use the EUROPOP 2013 values. For Spain and Turkey we </w:t>
      </w:r>
      <w:r w:rsidR="00E308C9" w:rsidRPr="007F3291">
        <w:rPr>
          <w:rFonts w:ascii="Times New Roman" w:eastAsia="Times New Roman" w:hAnsi="Times New Roman" w:cs="Times New Roman"/>
          <w:sz w:val="24"/>
          <w:lang w:val="en-GB"/>
        </w:rPr>
        <w:t xml:space="preserve">assume </w:t>
      </w:r>
      <w:r w:rsidRPr="007F3291">
        <w:rPr>
          <w:rFonts w:ascii="Times New Roman" w:eastAsia="Times New Roman" w:hAnsi="Times New Roman" w:cs="Times New Roman"/>
          <w:sz w:val="24"/>
          <w:lang w:val="en-GB"/>
        </w:rPr>
        <w:t xml:space="preserve">net migration </w:t>
      </w:r>
      <w:r w:rsidR="00E308C9" w:rsidRPr="007F3291">
        <w:rPr>
          <w:rFonts w:ascii="Times New Roman" w:eastAsia="Times New Roman" w:hAnsi="Times New Roman" w:cs="Times New Roman"/>
          <w:sz w:val="24"/>
          <w:lang w:val="en-GB"/>
        </w:rPr>
        <w:t xml:space="preserve">to be zero </w:t>
      </w:r>
      <w:r w:rsidRPr="007F3291">
        <w:rPr>
          <w:rFonts w:ascii="Times New Roman" w:eastAsia="Times New Roman" w:hAnsi="Times New Roman" w:cs="Times New Roman"/>
          <w:sz w:val="24"/>
          <w:lang w:val="en-GB"/>
        </w:rPr>
        <w:t>for the starting year.</w:t>
      </w:r>
    </w:p>
    <w:p w14:paraId="522C40E9" w14:textId="1AACEFB1"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The distribution of net migrants by sex and age relies on information from EUROPOP 2013.</w:t>
      </w:r>
    </w:p>
    <w:p w14:paraId="06C3144C" w14:textId="77777777" w:rsidR="00CE2DD2" w:rsidRPr="007F3291" w:rsidRDefault="00CE2DD2" w:rsidP="007F3291">
      <w:pPr>
        <w:spacing w:before="100" w:after="100" w:line="240" w:lineRule="auto"/>
        <w:jc w:val="both"/>
        <w:rPr>
          <w:rFonts w:ascii="Calibri" w:eastAsia="Calibri" w:hAnsi="Calibri" w:cs="Calibri"/>
          <w:lang w:val="en-GB"/>
        </w:rPr>
      </w:pPr>
    </w:p>
    <w:p w14:paraId="04EE5F6F" w14:textId="77777777" w:rsidR="00CE2DD2" w:rsidRPr="007F3291" w:rsidRDefault="00A01FBF" w:rsidP="007F3291">
      <w:pPr>
        <w:spacing w:after="0" w:line="240" w:lineRule="auto"/>
        <w:rPr>
          <w:rFonts w:ascii="Times New Roman" w:eastAsia="Times New Roman" w:hAnsi="Times New Roman" w:cs="Times New Roman"/>
          <w:b/>
          <w:i/>
          <w:sz w:val="24"/>
          <w:lang w:val="en-GB"/>
        </w:rPr>
      </w:pPr>
      <w:r w:rsidRPr="007F3291">
        <w:rPr>
          <w:rFonts w:ascii="Times New Roman" w:eastAsia="Times New Roman" w:hAnsi="Times New Roman" w:cs="Times New Roman"/>
          <w:b/>
          <w:i/>
          <w:sz w:val="24"/>
          <w:lang w:val="en-GB"/>
        </w:rPr>
        <w:t>Assumptions</w:t>
      </w:r>
    </w:p>
    <w:p w14:paraId="47CFE52A" w14:textId="77777777"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The assumptions for the future trends of fertility, mortality and migration used in the 2016 edition of the European Demographic Data Sheet are further detailed below.</w:t>
      </w:r>
    </w:p>
    <w:p w14:paraId="0D974CCF" w14:textId="7BF31093" w:rsidR="00CE2DD2" w:rsidRPr="00AA614F" w:rsidRDefault="00A01FBF" w:rsidP="00AA614F">
      <w:pPr>
        <w:spacing w:beforeLines="100" w:before="240" w:afterLines="100" w:after="240" w:line="240" w:lineRule="auto"/>
        <w:jc w:val="both"/>
        <w:rPr>
          <w:rFonts w:ascii="Times New Roman" w:hAnsi="Times New Roman" w:cs="Times New Roman"/>
          <w:sz w:val="24"/>
        </w:rPr>
      </w:pPr>
      <w:r w:rsidRPr="00AA614F">
        <w:rPr>
          <w:rFonts w:ascii="Times New Roman" w:hAnsi="Times New Roman" w:cs="Times New Roman"/>
          <w:sz w:val="24"/>
        </w:rPr>
        <w:t xml:space="preserve">The projection assumptions for future trends of fertility are based on the results of the global expert-based projections prepared by the Wittgenstein Centre for Population and Global Human Capital (see Lutz, </w:t>
      </w:r>
      <w:proofErr w:type="spellStart"/>
      <w:r w:rsidRPr="00AA614F">
        <w:rPr>
          <w:rFonts w:ascii="Times New Roman" w:hAnsi="Times New Roman" w:cs="Times New Roman"/>
          <w:sz w:val="24"/>
        </w:rPr>
        <w:t>Butz</w:t>
      </w:r>
      <w:proofErr w:type="spellEnd"/>
      <w:r w:rsidRPr="00AA614F">
        <w:rPr>
          <w:rFonts w:ascii="Times New Roman" w:hAnsi="Times New Roman" w:cs="Times New Roman"/>
          <w:sz w:val="24"/>
        </w:rPr>
        <w:t xml:space="preserve"> and KC 2014 for details). Namely, the period total fertility rate (TFR) for 2015–2050 rely on the Medium Demographics scenario within </w:t>
      </w:r>
      <w:r w:rsidR="00336F06" w:rsidRPr="00AA614F">
        <w:rPr>
          <w:rFonts w:ascii="Times New Roman" w:hAnsi="Times New Roman" w:cs="Times New Roman"/>
          <w:sz w:val="24"/>
        </w:rPr>
        <w:t xml:space="preserve">the </w:t>
      </w:r>
      <w:r w:rsidRPr="00AA614F">
        <w:rPr>
          <w:rFonts w:ascii="Times New Roman" w:hAnsi="Times New Roman" w:cs="Times New Roman"/>
          <w:sz w:val="24"/>
        </w:rPr>
        <w:t xml:space="preserve">Global Education Trend scenario (Medium-GET Scenario) </w:t>
      </w:r>
      <w:r w:rsidR="00336F06" w:rsidRPr="00AA614F">
        <w:rPr>
          <w:rFonts w:ascii="Times New Roman" w:hAnsi="Times New Roman" w:cs="Times New Roman"/>
          <w:sz w:val="24"/>
        </w:rPr>
        <w:t xml:space="preserve">by </w:t>
      </w:r>
      <w:r w:rsidRPr="00AA614F">
        <w:rPr>
          <w:rFonts w:ascii="Times New Roman" w:hAnsi="Times New Roman" w:cs="Times New Roman"/>
          <w:sz w:val="24"/>
        </w:rPr>
        <w:t xml:space="preserve">Lutz, </w:t>
      </w:r>
      <w:proofErr w:type="spellStart"/>
      <w:r w:rsidRPr="00AA614F">
        <w:rPr>
          <w:rFonts w:ascii="Times New Roman" w:hAnsi="Times New Roman" w:cs="Times New Roman"/>
          <w:sz w:val="24"/>
        </w:rPr>
        <w:t>Butz</w:t>
      </w:r>
      <w:proofErr w:type="spellEnd"/>
      <w:r w:rsidR="00CE3C0A" w:rsidRPr="00AA614F">
        <w:rPr>
          <w:rFonts w:ascii="Times New Roman" w:hAnsi="Times New Roman" w:cs="Times New Roman"/>
          <w:sz w:val="24"/>
        </w:rPr>
        <w:t xml:space="preserve"> and</w:t>
      </w:r>
      <w:r w:rsidRPr="00AA614F">
        <w:rPr>
          <w:rFonts w:ascii="Times New Roman" w:hAnsi="Times New Roman" w:cs="Times New Roman"/>
          <w:sz w:val="24"/>
        </w:rPr>
        <w:t xml:space="preserve"> KC (2014). The fertility rates distribution by age is kept constant throughout the projection period.</w:t>
      </w:r>
    </w:p>
    <w:p w14:paraId="006A5ECB" w14:textId="36CFE3D2" w:rsidR="00CE2DD2" w:rsidRPr="007F3291" w:rsidRDefault="00A01FBF" w:rsidP="007F3291">
      <w:pPr>
        <w:spacing w:before="100" w:after="100" w:line="240" w:lineRule="auto"/>
        <w:jc w:val="both"/>
        <w:rPr>
          <w:rFonts w:ascii="Times New Roman" w:eastAsia="Times New Roman" w:hAnsi="Times New Roman" w:cs="Times New Roman"/>
          <w:color w:val="000000"/>
          <w:sz w:val="24"/>
          <w:szCs w:val="24"/>
          <w:lang w:val="en-GB"/>
        </w:rPr>
      </w:pPr>
      <w:r w:rsidRPr="007F3291">
        <w:rPr>
          <w:rFonts w:ascii="Times New Roman" w:eastAsia="Times New Roman" w:hAnsi="Times New Roman" w:cs="Times New Roman"/>
          <w:color w:val="000000"/>
          <w:sz w:val="24"/>
          <w:szCs w:val="24"/>
          <w:lang w:val="en-GB"/>
        </w:rPr>
        <w:t xml:space="preserve">Life expectancy at birth is assumed to increase by two years per decade (Lutz et al. 1997 and 2001; Sanderson and </w:t>
      </w:r>
      <w:proofErr w:type="spellStart"/>
      <w:r w:rsidRPr="007F3291">
        <w:rPr>
          <w:rFonts w:ascii="Times New Roman" w:eastAsia="Times New Roman" w:hAnsi="Times New Roman" w:cs="Times New Roman"/>
          <w:color w:val="000000"/>
          <w:sz w:val="24"/>
          <w:szCs w:val="24"/>
          <w:lang w:val="en-GB"/>
        </w:rPr>
        <w:t>Scherbov</w:t>
      </w:r>
      <w:proofErr w:type="spellEnd"/>
      <w:r w:rsidRPr="007F3291">
        <w:rPr>
          <w:rFonts w:ascii="Times New Roman" w:eastAsia="Times New Roman" w:hAnsi="Times New Roman" w:cs="Times New Roman"/>
          <w:color w:val="000000"/>
          <w:sz w:val="24"/>
          <w:szCs w:val="24"/>
          <w:lang w:val="en-GB"/>
        </w:rPr>
        <w:t xml:space="preserve"> 2004), an assumption supported also by </w:t>
      </w:r>
      <w:proofErr w:type="spellStart"/>
      <w:r w:rsidRPr="007F3291">
        <w:rPr>
          <w:rFonts w:ascii="Times New Roman" w:eastAsia="Times New Roman" w:hAnsi="Times New Roman" w:cs="Times New Roman"/>
          <w:color w:val="000000"/>
          <w:sz w:val="24"/>
          <w:szCs w:val="24"/>
          <w:lang w:val="en-GB"/>
        </w:rPr>
        <w:t>Oeppen</w:t>
      </w:r>
      <w:proofErr w:type="spellEnd"/>
      <w:r w:rsidRPr="007F3291">
        <w:rPr>
          <w:rFonts w:ascii="Times New Roman" w:eastAsia="Times New Roman" w:hAnsi="Times New Roman" w:cs="Times New Roman"/>
          <w:color w:val="000000"/>
          <w:sz w:val="24"/>
          <w:szCs w:val="24"/>
          <w:lang w:val="en-GB"/>
        </w:rPr>
        <w:t xml:space="preserve"> and </w:t>
      </w:r>
      <w:proofErr w:type="spellStart"/>
      <w:r w:rsidRPr="007F3291">
        <w:rPr>
          <w:rFonts w:ascii="Times New Roman" w:eastAsia="Times New Roman" w:hAnsi="Times New Roman" w:cs="Times New Roman"/>
          <w:color w:val="000000"/>
          <w:sz w:val="24"/>
          <w:szCs w:val="24"/>
          <w:lang w:val="en-GB"/>
        </w:rPr>
        <w:t>Vaupel</w:t>
      </w:r>
      <w:proofErr w:type="spellEnd"/>
      <w:r w:rsidRPr="007F3291">
        <w:rPr>
          <w:rFonts w:ascii="Times New Roman" w:eastAsia="Times New Roman" w:hAnsi="Times New Roman" w:cs="Times New Roman"/>
          <w:color w:val="000000"/>
          <w:sz w:val="24"/>
          <w:szCs w:val="24"/>
          <w:lang w:val="en-GB"/>
        </w:rPr>
        <w:t xml:space="preserve"> (2002). The Brass relational model is used to adjust the </w:t>
      </w:r>
      <w:r w:rsidR="00F65A8C" w:rsidRPr="007F3291">
        <w:rPr>
          <w:rFonts w:ascii="Times New Roman" w:eastAsia="Times New Roman" w:hAnsi="Times New Roman" w:cs="Times New Roman"/>
          <w:color w:val="000000"/>
          <w:sz w:val="24"/>
          <w:szCs w:val="24"/>
          <w:lang w:val="en-GB"/>
        </w:rPr>
        <w:t>age-</w:t>
      </w:r>
      <w:r w:rsidRPr="007F3291">
        <w:rPr>
          <w:rFonts w:ascii="Times New Roman" w:eastAsia="Times New Roman" w:hAnsi="Times New Roman" w:cs="Times New Roman"/>
          <w:color w:val="000000"/>
          <w:sz w:val="24"/>
          <w:szCs w:val="24"/>
          <w:lang w:val="en-GB"/>
        </w:rPr>
        <w:t>specific mortality schedule.</w:t>
      </w:r>
    </w:p>
    <w:p w14:paraId="0BC35110" w14:textId="1E75A72B"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 xml:space="preserve">Regarding migration assumptions, we elaborate two migration scenarios: a) with migration b) without migration. The scenario with migration follows, after the year 2030, either EUROPOP 2013 assumptions or the assumptions developed within the global expert-based projections prepared by the Wittgenstein Centre for Population and Global Human Capital (see Lutz, </w:t>
      </w:r>
      <w:proofErr w:type="spellStart"/>
      <w:r w:rsidRPr="007F3291">
        <w:rPr>
          <w:rFonts w:ascii="Times New Roman" w:eastAsia="Times New Roman" w:hAnsi="Times New Roman" w:cs="Times New Roman"/>
          <w:sz w:val="24"/>
          <w:lang w:val="en-GB"/>
        </w:rPr>
        <w:t>Butz</w:t>
      </w:r>
      <w:proofErr w:type="spellEnd"/>
      <w:r w:rsidR="00CE3C0A" w:rsidRPr="007F3291">
        <w:rPr>
          <w:rFonts w:ascii="Times New Roman" w:eastAsia="Times New Roman" w:hAnsi="Times New Roman" w:cs="Times New Roman"/>
          <w:sz w:val="24"/>
          <w:lang w:val="en-GB"/>
        </w:rPr>
        <w:t xml:space="preserve"> and</w:t>
      </w:r>
      <w:r w:rsidRPr="007F3291">
        <w:rPr>
          <w:rFonts w:ascii="Times New Roman" w:eastAsia="Times New Roman" w:hAnsi="Times New Roman" w:cs="Times New Roman"/>
          <w:sz w:val="24"/>
          <w:lang w:val="en-GB"/>
        </w:rPr>
        <w:t xml:space="preserve"> KC 2014 for details), i.e. the Medium Demographics scenario with Global Education Trend scenario (Medium-GET Scenario) </w:t>
      </w:r>
      <w:r w:rsidR="00642E58" w:rsidRPr="007F3291">
        <w:rPr>
          <w:rFonts w:ascii="Times New Roman" w:eastAsia="Times New Roman" w:hAnsi="Times New Roman" w:cs="Times New Roman"/>
          <w:sz w:val="24"/>
          <w:lang w:val="en-GB"/>
        </w:rPr>
        <w:t xml:space="preserve">by </w:t>
      </w:r>
      <w:r w:rsidRPr="007F3291">
        <w:rPr>
          <w:rFonts w:ascii="Times New Roman" w:eastAsia="Times New Roman" w:hAnsi="Times New Roman" w:cs="Times New Roman"/>
          <w:sz w:val="24"/>
          <w:lang w:val="en-GB"/>
        </w:rPr>
        <w:t xml:space="preserve">Lutz, </w:t>
      </w:r>
      <w:proofErr w:type="spellStart"/>
      <w:r w:rsidRPr="007F3291">
        <w:rPr>
          <w:rFonts w:ascii="Times New Roman" w:eastAsia="Times New Roman" w:hAnsi="Times New Roman" w:cs="Times New Roman"/>
          <w:sz w:val="24"/>
          <w:lang w:val="en-GB"/>
        </w:rPr>
        <w:t>Butz</w:t>
      </w:r>
      <w:proofErr w:type="spellEnd"/>
      <w:r w:rsidRPr="007F3291">
        <w:rPr>
          <w:rFonts w:ascii="Times New Roman" w:eastAsia="Times New Roman" w:hAnsi="Times New Roman" w:cs="Times New Roman"/>
          <w:sz w:val="24"/>
          <w:lang w:val="en-GB"/>
        </w:rPr>
        <w:t xml:space="preserve"> </w:t>
      </w:r>
      <w:r w:rsidR="00CE3C0A" w:rsidRPr="007F3291">
        <w:rPr>
          <w:rFonts w:ascii="Times New Roman" w:eastAsia="Times New Roman" w:hAnsi="Times New Roman" w:cs="Times New Roman"/>
          <w:sz w:val="24"/>
          <w:lang w:val="en-GB"/>
        </w:rPr>
        <w:t xml:space="preserve">and </w:t>
      </w:r>
      <w:r w:rsidRPr="007F3291">
        <w:rPr>
          <w:rFonts w:ascii="Times New Roman" w:eastAsia="Times New Roman" w:hAnsi="Times New Roman" w:cs="Times New Roman"/>
          <w:sz w:val="24"/>
          <w:lang w:val="en-GB"/>
        </w:rPr>
        <w:t xml:space="preserve">KC (2014). Migration assumptions for most of the countries we converge linearly from the baseline values to EUROPOP 2013 values in 2030 and </w:t>
      </w:r>
      <w:r w:rsidR="00642E58" w:rsidRPr="007F3291">
        <w:rPr>
          <w:rFonts w:ascii="Times New Roman" w:eastAsia="Times New Roman" w:hAnsi="Times New Roman" w:cs="Times New Roman"/>
          <w:sz w:val="24"/>
          <w:lang w:val="en-GB"/>
        </w:rPr>
        <w:t xml:space="preserve">then </w:t>
      </w:r>
      <w:r w:rsidRPr="007F3291">
        <w:rPr>
          <w:rFonts w:ascii="Times New Roman" w:eastAsia="Times New Roman" w:hAnsi="Times New Roman" w:cs="Times New Roman"/>
          <w:sz w:val="24"/>
          <w:lang w:val="en-GB"/>
        </w:rPr>
        <w:t xml:space="preserve">follow Eurostat assumptions. For the following countries we rely, </w:t>
      </w:r>
      <w:r w:rsidR="005A74AB" w:rsidRPr="007F3291">
        <w:rPr>
          <w:rFonts w:ascii="Times New Roman" w:eastAsia="Times New Roman" w:hAnsi="Times New Roman" w:cs="Times New Roman"/>
          <w:sz w:val="24"/>
          <w:lang w:val="en-GB"/>
        </w:rPr>
        <w:t xml:space="preserve">after </w:t>
      </w:r>
      <w:r w:rsidRPr="007F3291">
        <w:rPr>
          <w:rFonts w:ascii="Times New Roman" w:eastAsia="Times New Roman" w:hAnsi="Times New Roman" w:cs="Times New Roman"/>
          <w:sz w:val="24"/>
          <w:lang w:val="en-GB"/>
        </w:rPr>
        <w:t xml:space="preserve">the projection year 2030, on the assumptions of the Wittgenstein Centre for Population and Global Human Capital: Albania, Armenia (whole projection period), Azerbaijan, Belarus, Metropolitan France, Georgia, Macedonia FYR, Moldova, Montenegro, </w:t>
      </w:r>
      <w:proofErr w:type="gramStart"/>
      <w:r w:rsidRPr="007F3291">
        <w:rPr>
          <w:rFonts w:ascii="Times New Roman" w:eastAsia="Times New Roman" w:hAnsi="Times New Roman" w:cs="Times New Roman"/>
          <w:sz w:val="24"/>
          <w:lang w:val="en-GB"/>
        </w:rPr>
        <w:t>Russia</w:t>
      </w:r>
      <w:proofErr w:type="gramEnd"/>
      <w:r w:rsidRPr="007F3291">
        <w:rPr>
          <w:rFonts w:ascii="Times New Roman" w:eastAsia="Times New Roman" w:hAnsi="Times New Roman" w:cs="Times New Roman"/>
          <w:sz w:val="24"/>
          <w:lang w:val="en-GB"/>
        </w:rPr>
        <w:t xml:space="preserve"> (whole projection period), Serbia and Ukraine. For Ireland </w:t>
      </w:r>
      <w:r w:rsidR="005A74AB" w:rsidRPr="007F3291">
        <w:rPr>
          <w:rFonts w:ascii="Times New Roman" w:eastAsia="Times New Roman" w:hAnsi="Times New Roman" w:cs="Times New Roman"/>
          <w:sz w:val="24"/>
          <w:lang w:val="en-GB"/>
        </w:rPr>
        <w:t xml:space="preserve">after 2016 </w:t>
      </w:r>
      <w:r w:rsidRPr="007F3291">
        <w:rPr>
          <w:rFonts w:ascii="Times New Roman" w:eastAsia="Times New Roman" w:hAnsi="Times New Roman" w:cs="Times New Roman"/>
          <w:sz w:val="24"/>
          <w:lang w:val="en-GB"/>
        </w:rPr>
        <w:t>we rely on the assumptions by the CSO Ireland. For Turkey we assume zero net migration for the whole projection period.</w:t>
      </w:r>
    </w:p>
    <w:p w14:paraId="5F0998F2" w14:textId="00F9F978" w:rsidR="00CE2DD2" w:rsidRPr="007F3291" w:rsidRDefault="00A01FBF" w:rsidP="007F3291">
      <w:pPr>
        <w:spacing w:before="100" w:after="10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lastRenderedPageBreak/>
        <w:t>Due to new migration situation in Europe associated with an increased inflow of asylum seekers since 2015, we top up the projected net migration during 2015</w:t>
      </w:r>
      <w:r w:rsidR="009775D2" w:rsidRPr="007F3291">
        <w:rPr>
          <w:rFonts w:ascii="Times New Roman" w:eastAsia="Times New Roman" w:hAnsi="Times New Roman" w:cs="Times New Roman"/>
          <w:sz w:val="24"/>
          <w:lang w:val="en-GB"/>
        </w:rPr>
        <w:t>–</w:t>
      </w:r>
      <w:r w:rsidRPr="007F3291">
        <w:rPr>
          <w:rFonts w:ascii="Times New Roman" w:eastAsia="Times New Roman" w:hAnsi="Times New Roman" w:cs="Times New Roman"/>
          <w:sz w:val="24"/>
          <w:lang w:val="en-GB"/>
        </w:rPr>
        <w:t xml:space="preserve">2019 with </w:t>
      </w:r>
      <w:r w:rsidR="009775D2" w:rsidRPr="007F3291">
        <w:rPr>
          <w:rFonts w:ascii="Times New Roman" w:eastAsia="Times New Roman" w:hAnsi="Times New Roman" w:cs="Times New Roman"/>
          <w:sz w:val="24"/>
          <w:lang w:val="en-GB"/>
        </w:rPr>
        <w:t xml:space="preserve">an </w:t>
      </w:r>
      <w:r w:rsidRPr="007F3291">
        <w:rPr>
          <w:rFonts w:ascii="Times New Roman" w:eastAsia="Times New Roman" w:hAnsi="Times New Roman" w:cs="Times New Roman"/>
          <w:sz w:val="24"/>
          <w:lang w:val="en-GB"/>
        </w:rPr>
        <w:t>additional stock of asylum seekers in order to account for the possible impact of asylum</w:t>
      </w:r>
      <w:r w:rsidR="00AE4D8E" w:rsidRPr="007F3291">
        <w:rPr>
          <w:rFonts w:ascii="Times New Roman" w:eastAsia="Times New Roman" w:hAnsi="Times New Roman" w:cs="Times New Roman"/>
          <w:sz w:val="24"/>
          <w:lang w:val="en-GB"/>
        </w:rPr>
        <w:t xml:space="preserve"> </w:t>
      </w:r>
      <w:r w:rsidRPr="007F3291">
        <w:rPr>
          <w:rFonts w:ascii="Times New Roman" w:eastAsia="Times New Roman" w:hAnsi="Times New Roman" w:cs="Times New Roman"/>
          <w:sz w:val="24"/>
          <w:lang w:val="en-GB"/>
        </w:rPr>
        <w:t xml:space="preserve">seekers. We do so for a subset of the following 15 European countries where </w:t>
      </w:r>
      <w:r w:rsidR="00AE4D8E" w:rsidRPr="007F3291">
        <w:rPr>
          <w:rFonts w:ascii="Times New Roman" w:eastAsia="Times New Roman" w:hAnsi="Times New Roman" w:cs="Times New Roman"/>
          <w:sz w:val="24"/>
          <w:lang w:val="en-GB"/>
        </w:rPr>
        <w:t xml:space="preserve">the </w:t>
      </w:r>
      <w:r w:rsidRPr="007F3291">
        <w:rPr>
          <w:rFonts w:ascii="Times New Roman" w:eastAsia="Times New Roman" w:hAnsi="Times New Roman" w:cs="Times New Roman"/>
          <w:sz w:val="24"/>
          <w:lang w:val="en-GB"/>
        </w:rPr>
        <w:t xml:space="preserve">majority of asylum seekers apply for protection: Germany, Sweden, Austria, Netherlands, Belgium, Finland, Switzerland, Norway, Denmark, United Kingdom, France, Spain, Greece, Italy and Luxembourg (listed starting from </w:t>
      </w:r>
      <w:r w:rsidR="008B199F" w:rsidRPr="007F3291">
        <w:rPr>
          <w:rFonts w:ascii="Times New Roman" w:eastAsia="Times New Roman" w:hAnsi="Times New Roman" w:cs="Times New Roman"/>
          <w:sz w:val="24"/>
          <w:lang w:val="en-GB"/>
        </w:rPr>
        <w:t xml:space="preserve">the </w:t>
      </w:r>
      <w:r w:rsidRPr="007F3291">
        <w:rPr>
          <w:rFonts w:ascii="Times New Roman" w:eastAsia="Times New Roman" w:hAnsi="Times New Roman" w:cs="Times New Roman"/>
          <w:sz w:val="24"/>
          <w:lang w:val="en-GB"/>
        </w:rPr>
        <w:t xml:space="preserve">highest number of </w:t>
      </w:r>
      <w:r w:rsidR="008B199F" w:rsidRPr="007F3291">
        <w:rPr>
          <w:rFonts w:ascii="Times New Roman" w:eastAsia="Times New Roman" w:hAnsi="Times New Roman" w:cs="Times New Roman"/>
          <w:sz w:val="24"/>
          <w:lang w:val="en-GB"/>
        </w:rPr>
        <w:t>first-</w:t>
      </w:r>
      <w:r w:rsidRPr="007F3291">
        <w:rPr>
          <w:rFonts w:ascii="Times New Roman" w:eastAsia="Times New Roman" w:hAnsi="Times New Roman" w:cs="Times New Roman"/>
          <w:sz w:val="24"/>
          <w:lang w:val="en-GB"/>
        </w:rPr>
        <w:t xml:space="preserve">time asylum applicants in 2015). Again, we rely on data collected </w:t>
      </w:r>
      <w:r w:rsidR="008B199F" w:rsidRPr="007F3291">
        <w:rPr>
          <w:rFonts w:ascii="Times New Roman" w:eastAsia="Times New Roman" w:hAnsi="Times New Roman" w:cs="Times New Roman"/>
          <w:sz w:val="24"/>
          <w:lang w:val="en-GB"/>
        </w:rPr>
        <w:t>by</w:t>
      </w:r>
      <w:r w:rsidRPr="007F3291">
        <w:rPr>
          <w:rFonts w:ascii="Times New Roman" w:eastAsia="Times New Roman" w:hAnsi="Times New Roman" w:cs="Times New Roman"/>
          <w:sz w:val="24"/>
          <w:lang w:val="en-GB"/>
        </w:rPr>
        <w:t xml:space="preserve"> Eurostat (2016). The number of </w:t>
      </w:r>
      <w:r w:rsidR="008B199F" w:rsidRPr="007F3291">
        <w:rPr>
          <w:rFonts w:ascii="Times New Roman" w:eastAsia="Times New Roman" w:hAnsi="Times New Roman" w:cs="Times New Roman"/>
          <w:sz w:val="24"/>
          <w:lang w:val="en-GB"/>
        </w:rPr>
        <w:t xml:space="preserve">applications </w:t>
      </w:r>
      <w:r w:rsidRPr="007F3291">
        <w:rPr>
          <w:rFonts w:ascii="Times New Roman" w:eastAsia="Times New Roman" w:hAnsi="Times New Roman" w:cs="Times New Roman"/>
          <w:sz w:val="24"/>
          <w:lang w:val="en-GB"/>
        </w:rPr>
        <w:t xml:space="preserve">in the countries of </w:t>
      </w:r>
      <w:r w:rsidR="008B199F" w:rsidRPr="007F3291">
        <w:rPr>
          <w:rFonts w:ascii="Times New Roman" w:eastAsia="Times New Roman" w:hAnsi="Times New Roman" w:cs="Times New Roman"/>
          <w:sz w:val="24"/>
          <w:lang w:val="en-GB"/>
        </w:rPr>
        <w:t>c</w:t>
      </w:r>
      <w:r w:rsidRPr="007F3291">
        <w:rPr>
          <w:rFonts w:ascii="Times New Roman" w:eastAsia="Times New Roman" w:hAnsi="Times New Roman" w:cs="Times New Roman"/>
          <w:sz w:val="24"/>
          <w:lang w:val="en-GB"/>
        </w:rPr>
        <w:t xml:space="preserve">entral and </w:t>
      </w:r>
      <w:r w:rsidR="008B199F" w:rsidRPr="007F3291">
        <w:rPr>
          <w:rFonts w:ascii="Times New Roman" w:eastAsia="Times New Roman" w:hAnsi="Times New Roman" w:cs="Times New Roman"/>
          <w:sz w:val="24"/>
          <w:lang w:val="en-GB"/>
        </w:rPr>
        <w:t>e</w:t>
      </w:r>
      <w:r w:rsidRPr="007F3291">
        <w:rPr>
          <w:rFonts w:ascii="Times New Roman" w:eastAsia="Times New Roman" w:hAnsi="Times New Roman" w:cs="Times New Roman"/>
          <w:sz w:val="24"/>
          <w:lang w:val="en-GB"/>
        </w:rPr>
        <w:t xml:space="preserve">astern Europe is low, with the exception of Hungary, where a significant number of asylum seekers </w:t>
      </w:r>
      <w:r w:rsidR="008B199F" w:rsidRPr="007F3291">
        <w:rPr>
          <w:rFonts w:ascii="Times New Roman" w:eastAsia="Times New Roman" w:hAnsi="Times New Roman" w:cs="Times New Roman"/>
          <w:sz w:val="24"/>
          <w:lang w:val="en-GB"/>
        </w:rPr>
        <w:t xml:space="preserve">was </w:t>
      </w:r>
      <w:r w:rsidRPr="007F3291">
        <w:rPr>
          <w:rFonts w:ascii="Times New Roman" w:eastAsia="Times New Roman" w:hAnsi="Times New Roman" w:cs="Times New Roman"/>
          <w:sz w:val="24"/>
          <w:lang w:val="en-GB"/>
        </w:rPr>
        <w:t>registered in 2015</w:t>
      </w:r>
      <w:r w:rsidR="008B199F" w:rsidRPr="007F3291">
        <w:rPr>
          <w:rFonts w:ascii="Times New Roman" w:eastAsia="Times New Roman" w:hAnsi="Times New Roman" w:cs="Times New Roman"/>
          <w:sz w:val="24"/>
          <w:lang w:val="en-GB"/>
        </w:rPr>
        <w:t>;</w:t>
      </w:r>
      <w:r w:rsidRPr="007F3291">
        <w:rPr>
          <w:rFonts w:ascii="Times New Roman" w:eastAsia="Times New Roman" w:hAnsi="Times New Roman" w:cs="Times New Roman"/>
          <w:sz w:val="24"/>
          <w:lang w:val="en-GB"/>
        </w:rPr>
        <w:t xml:space="preserve"> however, there is little evidence </w:t>
      </w:r>
      <w:r w:rsidR="008B199F" w:rsidRPr="007F3291">
        <w:rPr>
          <w:rFonts w:ascii="Times New Roman" w:eastAsia="Times New Roman" w:hAnsi="Times New Roman" w:cs="Times New Roman"/>
          <w:sz w:val="24"/>
          <w:lang w:val="en-GB"/>
        </w:rPr>
        <w:t xml:space="preserve">that a </w:t>
      </w:r>
      <w:r w:rsidRPr="007F3291">
        <w:rPr>
          <w:rFonts w:ascii="Times New Roman" w:eastAsia="Times New Roman" w:hAnsi="Times New Roman" w:cs="Times New Roman"/>
          <w:sz w:val="24"/>
          <w:lang w:val="en-GB"/>
        </w:rPr>
        <w:t xml:space="preserve">majority of them </w:t>
      </w:r>
      <w:r w:rsidR="008B199F" w:rsidRPr="007F3291">
        <w:rPr>
          <w:rFonts w:ascii="Times New Roman" w:eastAsia="Times New Roman" w:hAnsi="Times New Roman" w:cs="Times New Roman"/>
          <w:sz w:val="24"/>
          <w:lang w:val="en-GB"/>
        </w:rPr>
        <w:t xml:space="preserve">actually </w:t>
      </w:r>
      <w:r w:rsidRPr="007F3291">
        <w:rPr>
          <w:rFonts w:ascii="Times New Roman" w:eastAsia="Times New Roman" w:hAnsi="Times New Roman" w:cs="Times New Roman"/>
          <w:sz w:val="24"/>
          <w:lang w:val="en-GB"/>
        </w:rPr>
        <w:t xml:space="preserve">remained in the country. Therefore, we have proportionally redistributed this stock of </w:t>
      </w:r>
      <w:r w:rsidR="004C1CDC" w:rsidRPr="007F3291">
        <w:rPr>
          <w:rFonts w:ascii="Times New Roman" w:eastAsia="Times New Roman" w:hAnsi="Times New Roman" w:cs="Times New Roman"/>
          <w:sz w:val="24"/>
          <w:lang w:val="en-GB"/>
        </w:rPr>
        <w:t>first-</w:t>
      </w:r>
      <w:r w:rsidRPr="007F3291">
        <w:rPr>
          <w:rFonts w:ascii="Times New Roman" w:eastAsia="Times New Roman" w:hAnsi="Times New Roman" w:cs="Times New Roman"/>
          <w:sz w:val="24"/>
          <w:lang w:val="en-GB"/>
        </w:rPr>
        <w:t>time asylum applicants to Hungary in 2015 into the top 5 receiving countries. Furthermore, not all asylum seekers are granted refugee or other protection status and acceptance rates differ significantly depending on the country of origin of the asylum seekers. Thus, we have included only those arriving from the top 5 countries with highest recognition rates in 2015</w:t>
      </w:r>
      <w:r w:rsidR="004C1CDC" w:rsidRPr="007F3291">
        <w:rPr>
          <w:rFonts w:ascii="Times New Roman" w:eastAsia="Times New Roman" w:hAnsi="Times New Roman" w:cs="Times New Roman"/>
          <w:sz w:val="24"/>
          <w:lang w:val="en-GB"/>
        </w:rPr>
        <w:t>:</w:t>
      </w:r>
      <w:r w:rsidRPr="007F3291">
        <w:rPr>
          <w:rFonts w:ascii="Times New Roman" w:eastAsia="Times New Roman" w:hAnsi="Times New Roman" w:cs="Times New Roman"/>
          <w:sz w:val="24"/>
          <w:lang w:val="en-GB"/>
        </w:rPr>
        <w:t xml:space="preserve"> Iraq, Syria, Eritrea, Afghanistan and stateless persons (</w:t>
      </w:r>
      <w:r w:rsidR="004C1CDC" w:rsidRPr="007F3291">
        <w:rPr>
          <w:rFonts w:ascii="Times New Roman" w:eastAsia="Times New Roman" w:hAnsi="Times New Roman" w:cs="Times New Roman"/>
          <w:sz w:val="24"/>
          <w:lang w:val="en-GB"/>
        </w:rPr>
        <w:t xml:space="preserve">authors’ </w:t>
      </w:r>
      <w:r w:rsidRPr="007F3291">
        <w:rPr>
          <w:rFonts w:ascii="Times New Roman" w:eastAsia="Times New Roman" w:hAnsi="Times New Roman" w:cs="Times New Roman"/>
          <w:sz w:val="24"/>
          <w:lang w:val="en-GB"/>
        </w:rPr>
        <w:t>own estimates</w:t>
      </w:r>
      <w:r w:rsidR="004C1CDC" w:rsidRPr="007F3291">
        <w:rPr>
          <w:rFonts w:ascii="Times New Roman" w:eastAsia="Times New Roman" w:hAnsi="Times New Roman" w:cs="Times New Roman"/>
          <w:sz w:val="24"/>
          <w:lang w:val="en-GB"/>
        </w:rPr>
        <w:t>,</w:t>
      </w:r>
      <w:r w:rsidRPr="007F3291">
        <w:rPr>
          <w:rFonts w:ascii="Times New Roman" w:eastAsia="Times New Roman" w:hAnsi="Times New Roman" w:cs="Times New Roman"/>
          <w:sz w:val="24"/>
          <w:lang w:val="en-GB"/>
        </w:rPr>
        <w:t xml:space="preserve"> based on Dublin Statistics available from Eurostat 2016). </w:t>
      </w:r>
    </w:p>
    <w:p w14:paraId="0E3D61DB" w14:textId="2E5531F4" w:rsidR="00CE2DD2" w:rsidRPr="007F3291" w:rsidRDefault="00A01FBF" w:rsidP="00AA614F">
      <w:pPr>
        <w:spacing w:beforeLines="100" w:before="240" w:afterLines="100" w:after="240" w:line="240" w:lineRule="auto"/>
        <w:jc w:val="both"/>
        <w:rPr>
          <w:rFonts w:ascii="Times New Roman" w:eastAsia="Times New Roman" w:hAnsi="Times New Roman" w:cs="Times New Roman"/>
          <w:sz w:val="24"/>
          <w:lang w:val="en-GB"/>
        </w:rPr>
      </w:pPr>
      <w:r w:rsidRPr="007F3291">
        <w:rPr>
          <w:rFonts w:ascii="Times New Roman" w:eastAsia="Times New Roman" w:hAnsi="Times New Roman" w:cs="Times New Roman"/>
          <w:sz w:val="24"/>
          <w:lang w:val="en-GB"/>
        </w:rPr>
        <w:t>To sum up</w:t>
      </w:r>
      <w:r w:rsidRPr="00AA614F">
        <w:rPr>
          <w:rFonts w:ascii="Times New Roman" w:hAnsi="Times New Roman" w:cs="Times New Roman"/>
          <w:sz w:val="24"/>
        </w:rPr>
        <w:t>, the number of asylum</w:t>
      </w:r>
      <w:r w:rsidR="004C1CDC" w:rsidRPr="00AA614F">
        <w:rPr>
          <w:rFonts w:ascii="Times New Roman" w:hAnsi="Times New Roman" w:cs="Times New Roman"/>
          <w:sz w:val="24"/>
        </w:rPr>
        <w:t xml:space="preserve"> </w:t>
      </w:r>
      <w:r w:rsidRPr="00AA614F">
        <w:rPr>
          <w:rFonts w:ascii="Times New Roman" w:hAnsi="Times New Roman" w:cs="Times New Roman"/>
          <w:sz w:val="24"/>
        </w:rPr>
        <w:t xml:space="preserve">seekers added as in-migration flow was calculated from the Eurostat data on </w:t>
      </w:r>
      <w:r w:rsidR="006E0DEE" w:rsidRPr="00AA614F">
        <w:rPr>
          <w:rFonts w:ascii="Times New Roman" w:hAnsi="Times New Roman" w:cs="Times New Roman"/>
          <w:sz w:val="24"/>
        </w:rPr>
        <w:t>first-</w:t>
      </w:r>
      <w:r w:rsidRPr="00AA614F">
        <w:rPr>
          <w:rFonts w:ascii="Times New Roman" w:hAnsi="Times New Roman" w:cs="Times New Roman"/>
          <w:sz w:val="24"/>
        </w:rPr>
        <w:t xml:space="preserve">time asylum applicants in 2015, with adjustments for those who applied in Hungary, and taking only those with highest chances to be granted asylum and stay in </w:t>
      </w:r>
      <w:r w:rsidR="006E0DEE" w:rsidRPr="00AA614F">
        <w:rPr>
          <w:rFonts w:ascii="Times New Roman" w:hAnsi="Times New Roman" w:cs="Times New Roman"/>
          <w:sz w:val="24"/>
        </w:rPr>
        <w:t xml:space="preserve">their </w:t>
      </w:r>
      <w:r w:rsidRPr="00AA614F">
        <w:rPr>
          <w:rFonts w:ascii="Times New Roman" w:hAnsi="Times New Roman" w:cs="Times New Roman"/>
          <w:sz w:val="24"/>
        </w:rPr>
        <w:t xml:space="preserve">destination country. We assume increased irregular migration for the first </w:t>
      </w:r>
      <w:r w:rsidR="006E0DEE" w:rsidRPr="00AA614F">
        <w:rPr>
          <w:rFonts w:ascii="Times New Roman" w:hAnsi="Times New Roman" w:cs="Times New Roman"/>
          <w:sz w:val="24"/>
        </w:rPr>
        <w:t xml:space="preserve">five </w:t>
      </w:r>
      <w:r w:rsidRPr="00AA614F">
        <w:rPr>
          <w:rFonts w:ascii="Times New Roman" w:hAnsi="Times New Roman" w:cs="Times New Roman"/>
          <w:sz w:val="24"/>
        </w:rPr>
        <w:t>projection years. Estimates for 2016</w:t>
      </w:r>
      <w:r w:rsidR="006E0DEE" w:rsidRPr="00AA614F">
        <w:rPr>
          <w:rFonts w:ascii="Times New Roman" w:hAnsi="Times New Roman" w:cs="Times New Roman"/>
          <w:sz w:val="24"/>
        </w:rPr>
        <w:t>–</w:t>
      </w:r>
      <w:r w:rsidRPr="00AA614F">
        <w:rPr>
          <w:rFonts w:ascii="Times New Roman" w:hAnsi="Times New Roman" w:cs="Times New Roman"/>
          <w:sz w:val="24"/>
        </w:rPr>
        <w:t xml:space="preserve">2019 follow a declining linear trend and no asylums seekers are considered from 2020 onwards. Table 1 </w:t>
      </w:r>
      <w:proofErr w:type="spellStart"/>
      <w:r w:rsidR="006E0DEE" w:rsidRPr="00AA614F">
        <w:rPr>
          <w:rFonts w:ascii="Times New Roman" w:hAnsi="Times New Roman" w:cs="Times New Roman"/>
          <w:sz w:val="24"/>
        </w:rPr>
        <w:t>summarises</w:t>
      </w:r>
      <w:proofErr w:type="spellEnd"/>
      <w:r w:rsidR="006E0DEE" w:rsidRPr="00AA614F">
        <w:rPr>
          <w:rFonts w:ascii="Times New Roman" w:hAnsi="Times New Roman" w:cs="Times New Roman"/>
          <w:sz w:val="24"/>
        </w:rPr>
        <w:t xml:space="preserve"> </w:t>
      </w:r>
      <w:r w:rsidRPr="00AA614F">
        <w:rPr>
          <w:rFonts w:ascii="Times New Roman" w:hAnsi="Times New Roman" w:cs="Times New Roman"/>
          <w:sz w:val="24"/>
        </w:rPr>
        <w:t>estimated totals for the 15 countries in 2015</w:t>
      </w:r>
      <w:r w:rsidR="006E0DEE" w:rsidRPr="00AA614F">
        <w:rPr>
          <w:rFonts w:ascii="Times New Roman" w:hAnsi="Times New Roman" w:cs="Times New Roman"/>
          <w:sz w:val="24"/>
        </w:rPr>
        <w:t>–</w:t>
      </w:r>
      <w:r w:rsidRPr="00AA614F">
        <w:rPr>
          <w:rFonts w:ascii="Times New Roman" w:hAnsi="Times New Roman" w:cs="Times New Roman"/>
          <w:sz w:val="24"/>
        </w:rPr>
        <w:t xml:space="preserve">2019. We assume the same composition by sex as in 2015. </w:t>
      </w:r>
      <w:r w:rsidRPr="007F3291">
        <w:rPr>
          <w:rFonts w:ascii="Times New Roman" w:eastAsia="Times New Roman" w:hAnsi="Times New Roman" w:cs="Times New Roman"/>
          <w:sz w:val="24"/>
          <w:lang w:val="en-GB"/>
        </w:rPr>
        <w:t>The migration age profile remains constant.</w:t>
      </w:r>
    </w:p>
    <w:p w14:paraId="63DFD9EF" w14:textId="77777777" w:rsidR="00CE2DD2" w:rsidRPr="007F3291" w:rsidRDefault="00CE2DD2" w:rsidP="007F3291">
      <w:pPr>
        <w:spacing w:before="100" w:after="100" w:line="240" w:lineRule="auto"/>
        <w:jc w:val="both"/>
        <w:rPr>
          <w:rFonts w:ascii="Calibri" w:eastAsia="Calibri" w:hAnsi="Calibri" w:cs="Calibri"/>
          <w:lang w:val="en-GB"/>
        </w:rPr>
      </w:pPr>
    </w:p>
    <w:p w14:paraId="1DB89BB0" w14:textId="156A2E44" w:rsidR="00CE2DD2" w:rsidRPr="00AA614F" w:rsidRDefault="00A01FBF" w:rsidP="00AA614F">
      <w:pPr>
        <w:rPr>
          <w:rFonts w:ascii="Times New Roman" w:hAnsi="Times New Roman" w:cs="Times New Roman"/>
          <w:i/>
        </w:rPr>
      </w:pPr>
      <w:r w:rsidRPr="00AA614F">
        <w:rPr>
          <w:rFonts w:ascii="Times New Roman" w:hAnsi="Times New Roman" w:cs="Times New Roman"/>
          <w:i/>
        </w:rPr>
        <w:t>Table 1: Estimated number of asylum seekers for the migration scenario, 2015</w:t>
      </w:r>
      <w:r w:rsidR="006E0DEE" w:rsidRPr="00AA614F">
        <w:rPr>
          <w:rFonts w:ascii="Times New Roman" w:hAnsi="Times New Roman" w:cs="Times New Roman"/>
          <w:i/>
        </w:rPr>
        <w:t>–</w:t>
      </w:r>
      <w:r w:rsidRPr="00AA614F">
        <w:rPr>
          <w:rFonts w:ascii="Times New Roman" w:hAnsi="Times New Roman" w:cs="Times New Roman"/>
          <w:i/>
        </w:rPr>
        <w:t>2019 (thousands)</w:t>
      </w:r>
    </w:p>
    <w:tbl>
      <w:tblPr>
        <w:tblW w:w="0" w:type="auto"/>
        <w:tblInd w:w="60" w:type="dxa"/>
        <w:tblCellMar>
          <w:left w:w="10" w:type="dxa"/>
          <w:right w:w="10" w:type="dxa"/>
        </w:tblCellMar>
        <w:tblLook w:val="0000" w:firstRow="0" w:lastRow="0" w:firstColumn="0" w:lastColumn="0" w:noHBand="0" w:noVBand="0"/>
      </w:tblPr>
      <w:tblGrid>
        <w:gridCol w:w="1780"/>
        <w:gridCol w:w="960"/>
        <w:gridCol w:w="960"/>
        <w:gridCol w:w="960"/>
        <w:gridCol w:w="960"/>
        <w:gridCol w:w="960"/>
        <w:gridCol w:w="960"/>
      </w:tblGrid>
      <w:tr w:rsidR="00CE2DD2" w:rsidRPr="007F3291" w14:paraId="5A9C36BA" w14:textId="77777777">
        <w:trPr>
          <w:trHeight w:val="300"/>
        </w:trPr>
        <w:tc>
          <w:tcPr>
            <w:tcW w:w="1780" w:type="dxa"/>
            <w:tcBorders>
              <w:top w:val="single" w:sz="5" w:space="0" w:color="000000"/>
              <w:left w:val="single" w:sz="0" w:space="0" w:color="000000"/>
              <w:bottom w:val="single" w:sz="5" w:space="0" w:color="000000"/>
              <w:right w:val="single" w:sz="5" w:space="0" w:color="000000"/>
            </w:tcBorders>
            <w:shd w:val="clear" w:color="000000" w:fill="FFFFFF"/>
            <w:tcMar>
              <w:left w:w="70" w:type="dxa"/>
              <w:right w:w="70" w:type="dxa"/>
            </w:tcMar>
            <w:vAlign w:val="bottom"/>
          </w:tcPr>
          <w:p w14:paraId="4E397E10"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 </w:t>
            </w:r>
          </w:p>
        </w:tc>
        <w:tc>
          <w:tcPr>
            <w:tcW w:w="960" w:type="dxa"/>
            <w:tcBorders>
              <w:top w:val="single" w:sz="5"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0EA5FE7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2015</w:t>
            </w:r>
          </w:p>
        </w:tc>
        <w:tc>
          <w:tcPr>
            <w:tcW w:w="960" w:type="dxa"/>
            <w:tcBorders>
              <w:top w:val="single" w:sz="5"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111FB5C2"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2016</w:t>
            </w:r>
          </w:p>
        </w:tc>
        <w:tc>
          <w:tcPr>
            <w:tcW w:w="960" w:type="dxa"/>
            <w:tcBorders>
              <w:top w:val="single" w:sz="5"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088C927F"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2017</w:t>
            </w:r>
          </w:p>
        </w:tc>
        <w:tc>
          <w:tcPr>
            <w:tcW w:w="960" w:type="dxa"/>
            <w:tcBorders>
              <w:top w:val="single" w:sz="5"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13DCBC6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2018</w:t>
            </w:r>
          </w:p>
        </w:tc>
        <w:tc>
          <w:tcPr>
            <w:tcW w:w="960" w:type="dxa"/>
            <w:tcBorders>
              <w:top w:val="single" w:sz="5" w:space="0" w:color="000000"/>
              <w:left w:val="single" w:sz="0" w:space="0" w:color="000000"/>
              <w:bottom w:val="single" w:sz="5" w:space="0" w:color="000000"/>
              <w:right w:val="single" w:sz="5" w:space="0" w:color="000000"/>
            </w:tcBorders>
            <w:shd w:val="clear" w:color="000000" w:fill="FFFFFF"/>
            <w:tcMar>
              <w:left w:w="70" w:type="dxa"/>
              <w:right w:w="70" w:type="dxa"/>
            </w:tcMar>
            <w:vAlign w:val="bottom"/>
          </w:tcPr>
          <w:p w14:paraId="1634599E"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2019</w:t>
            </w:r>
          </w:p>
        </w:tc>
        <w:tc>
          <w:tcPr>
            <w:tcW w:w="960" w:type="dxa"/>
            <w:tcBorders>
              <w:top w:val="single" w:sz="5"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715EBD97" w14:textId="257DAB44"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2015</w:t>
            </w:r>
            <w:r w:rsidR="006E0DEE" w:rsidRPr="00127E44">
              <w:rPr>
                <w:rFonts w:ascii="Calibri" w:eastAsia="Calibri" w:hAnsi="Calibri" w:cs="Calibri"/>
                <w:i/>
                <w:color w:val="000000"/>
                <w:lang w:val="en-GB"/>
              </w:rPr>
              <w:t>–</w:t>
            </w:r>
            <w:r w:rsidRPr="00127E44">
              <w:rPr>
                <w:rFonts w:ascii="Calibri" w:eastAsia="Calibri" w:hAnsi="Calibri" w:cs="Calibri"/>
                <w:i/>
                <w:color w:val="000000"/>
                <w:lang w:val="en-GB"/>
              </w:rPr>
              <w:t>2019</w:t>
            </w:r>
          </w:p>
        </w:tc>
      </w:tr>
      <w:tr w:rsidR="00CE2DD2" w:rsidRPr="007F3291" w14:paraId="19EB8D3E"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35EC5490"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Germany</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4674EDBB"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289</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ED0FB7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231</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24C10F3"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173</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B32F26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115</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2C8A0EC5"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58</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476572A2"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866</w:t>
            </w:r>
          </w:p>
        </w:tc>
      </w:tr>
      <w:tr w:rsidR="00CE2DD2" w:rsidRPr="007F3291" w14:paraId="23781DC6"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7C963592"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Sweden</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9922F21"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155</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826E00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124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66D3A9F"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93</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76EA395"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62</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0A8638FD"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31</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A44FBAE"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466</w:t>
            </w:r>
          </w:p>
        </w:tc>
      </w:tr>
      <w:tr w:rsidR="00CE2DD2" w:rsidRPr="007F3291" w14:paraId="1EBDDD52"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521B0D6B"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Austria</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72DEAF90"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80</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4022484"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413FC9E0"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48</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47305BC2"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32</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253D02F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0A756E8"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239</w:t>
            </w:r>
          </w:p>
        </w:tc>
      </w:tr>
      <w:tr w:rsidR="00CE2DD2" w:rsidRPr="007F3291" w14:paraId="0E9A73E4"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74E060DD"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Netherlands</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EF0E27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42</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A2CC38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255D2C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25</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1841A1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17</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33EA09F3"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8</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48C8A17"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126</w:t>
            </w:r>
          </w:p>
        </w:tc>
      </w:tr>
      <w:tr w:rsidR="00CE2DD2" w:rsidRPr="007F3291" w14:paraId="0666CAB6"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565CBC02"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Belgium</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EA56BD3"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B2641FC"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27</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5BE5390"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20</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1988E42"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14</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349656BD"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7</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68A658F"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102</w:t>
            </w:r>
          </w:p>
        </w:tc>
      </w:tr>
      <w:tr w:rsidR="00CE2DD2" w:rsidRPr="007F3291" w14:paraId="02369A3D"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307B5E97"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Finland</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7E8A2B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33</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2B73AD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4A594DAE"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20</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F05E48D"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13</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001DEBFD"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7</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6F2F891"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98</w:t>
            </w:r>
          </w:p>
        </w:tc>
      </w:tr>
      <w:tr w:rsidR="00CE2DD2" w:rsidRPr="007F3291" w14:paraId="56610BF8"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03C7C38D"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Switzerland</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1A5B666"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31</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D53303B"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25</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B6E2B9D"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18</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C8BFA54"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12</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610F4F9E"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36E37D8"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92</w:t>
            </w:r>
          </w:p>
        </w:tc>
      </w:tr>
      <w:tr w:rsidR="00CE2DD2" w:rsidRPr="007F3291" w14:paraId="356A6D40"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64151344"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Norway</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791004E"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30</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0C579B1"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2DA4E7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18</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C014343"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12</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477E29DF"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4E192342"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90</w:t>
            </w:r>
          </w:p>
        </w:tc>
      </w:tr>
      <w:tr w:rsidR="00CE2DD2" w:rsidRPr="007F3291" w14:paraId="2790EA49"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4EEDF4A9"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Denmark</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9CFCB04"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19</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3AC2734"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15</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E68CC10"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12</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56930F1"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8</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0F87710F"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A090851"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58</w:t>
            </w:r>
          </w:p>
        </w:tc>
      </w:tr>
      <w:tr w:rsidR="00CE2DD2" w:rsidRPr="007F3291" w14:paraId="629078A5"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7D78CAB5"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United Kingdom</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E0579F1"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323D383"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12</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07634F0"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9</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71D9A7B0"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4602F63C"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7AAD39D4"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47</w:t>
            </w:r>
          </w:p>
        </w:tc>
      </w:tr>
      <w:tr w:rsidR="00CE2DD2" w:rsidRPr="007F3291" w14:paraId="2DFF61BC"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5B712AE1"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France</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F86EAE2"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5ED9E38"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11</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7DB9412"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8</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DCC6C8E"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466D3A4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761CCEC"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42</w:t>
            </w:r>
          </w:p>
        </w:tc>
      </w:tr>
      <w:tr w:rsidR="00CE2DD2" w:rsidRPr="007F3291" w14:paraId="21D303AA"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395547A2"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Spain</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7A9DFA1"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AF4EBCB"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5</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106AF73"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0885AD6A"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0B5A7ECC"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9BF0FEF"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18</w:t>
            </w:r>
          </w:p>
        </w:tc>
      </w:tr>
      <w:tr w:rsidR="00CE2DD2" w:rsidRPr="007F3291" w14:paraId="3506607E"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3740614E"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Greece</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BE1D14A"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126E98F"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5</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CDAFF72"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4</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688692DA"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0DBC9841"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729AE09"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17</w:t>
            </w:r>
          </w:p>
        </w:tc>
      </w:tr>
      <w:tr w:rsidR="00CE2DD2" w:rsidRPr="007F3291" w14:paraId="2CC34449" w14:textId="77777777">
        <w:trPr>
          <w:trHeight w:val="300"/>
        </w:trPr>
        <w:tc>
          <w:tcPr>
            <w:tcW w:w="178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50B097B7"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Italy</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1B92E6F"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6</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83721D4"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5</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5619A31F"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3</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3093C5B0"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w:t>
            </w:r>
          </w:p>
        </w:tc>
        <w:tc>
          <w:tcPr>
            <w:tcW w:w="960" w:type="dxa"/>
            <w:tcBorders>
              <w:top w:val="single" w:sz="0" w:space="0" w:color="000000"/>
              <w:left w:val="single" w:sz="0" w:space="0" w:color="000000"/>
              <w:bottom w:val="single" w:sz="0" w:space="0" w:color="000000"/>
              <w:right w:val="single" w:sz="5" w:space="0" w:color="000000"/>
            </w:tcBorders>
            <w:shd w:val="clear" w:color="000000" w:fill="FFFFFF"/>
            <w:tcMar>
              <w:left w:w="70" w:type="dxa"/>
              <w:right w:w="70" w:type="dxa"/>
            </w:tcMar>
            <w:vAlign w:val="bottom"/>
          </w:tcPr>
          <w:p w14:paraId="3013BA38"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w:t>
            </w:r>
          </w:p>
        </w:tc>
        <w:tc>
          <w:tcPr>
            <w:tcW w:w="96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7FDBC28B"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17</w:t>
            </w:r>
          </w:p>
        </w:tc>
      </w:tr>
      <w:tr w:rsidR="00CE2DD2" w:rsidRPr="007F3291" w14:paraId="2294B35A" w14:textId="77777777">
        <w:trPr>
          <w:trHeight w:val="300"/>
        </w:trPr>
        <w:tc>
          <w:tcPr>
            <w:tcW w:w="1780" w:type="dxa"/>
            <w:tcBorders>
              <w:top w:val="single" w:sz="0" w:space="0" w:color="000000"/>
              <w:left w:val="single" w:sz="0" w:space="0" w:color="000000"/>
              <w:bottom w:val="single" w:sz="5" w:space="0" w:color="000000"/>
              <w:right w:val="single" w:sz="5" w:space="0" w:color="000000"/>
            </w:tcBorders>
            <w:shd w:val="clear" w:color="000000" w:fill="FFFFFF"/>
            <w:tcMar>
              <w:left w:w="70" w:type="dxa"/>
              <w:right w:w="70" w:type="dxa"/>
            </w:tcMar>
            <w:vAlign w:val="bottom"/>
          </w:tcPr>
          <w:p w14:paraId="5A1F6CAD" w14:textId="77777777" w:rsidR="00CE2DD2" w:rsidRPr="007F3291" w:rsidRDefault="00A01FBF" w:rsidP="007F3291">
            <w:pPr>
              <w:spacing w:after="0" w:line="240" w:lineRule="auto"/>
              <w:rPr>
                <w:rFonts w:ascii="Calibri" w:eastAsia="Calibri" w:hAnsi="Calibri" w:cs="Calibri"/>
                <w:lang w:val="en-GB"/>
              </w:rPr>
            </w:pPr>
            <w:r w:rsidRPr="007F3291">
              <w:rPr>
                <w:rFonts w:ascii="Calibri" w:eastAsia="Calibri" w:hAnsi="Calibri" w:cs="Calibri"/>
                <w:color w:val="000000"/>
                <w:lang w:val="en-GB"/>
              </w:rPr>
              <w:t>Luxemburg</w:t>
            </w:r>
          </w:p>
        </w:tc>
        <w:tc>
          <w:tcPr>
            <w:tcW w:w="960" w:type="dxa"/>
            <w:tcBorders>
              <w:top w:val="single" w:sz="0"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0298FF9E"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2</w:t>
            </w:r>
          </w:p>
        </w:tc>
        <w:tc>
          <w:tcPr>
            <w:tcW w:w="960" w:type="dxa"/>
            <w:tcBorders>
              <w:top w:val="single" w:sz="0"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429310E9"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w:t>
            </w:r>
          </w:p>
        </w:tc>
        <w:tc>
          <w:tcPr>
            <w:tcW w:w="960" w:type="dxa"/>
            <w:tcBorders>
              <w:top w:val="single" w:sz="0"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1EFCA38C"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w:t>
            </w:r>
          </w:p>
        </w:tc>
        <w:tc>
          <w:tcPr>
            <w:tcW w:w="960" w:type="dxa"/>
            <w:tcBorders>
              <w:top w:val="single" w:sz="0"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5D1B07BA"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1</w:t>
            </w:r>
          </w:p>
        </w:tc>
        <w:tc>
          <w:tcPr>
            <w:tcW w:w="960" w:type="dxa"/>
            <w:tcBorders>
              <w:top w:val="single" w:sz="0" w:space="0" w:color="000000"/>
              <w:left w:val="single" w:sz="0" w:space="0" w:color="000000"/>
              <w:bottom w:val="single" w:sz="5" w:space="0" w:color="000000"/>
              <w:right w:val="single" w:sz="5" w:space="0" w:color="000000"/>
            </w:tcBorders>
            <w:shd w:val="clear" w:color="000000" w:fill="FFFFFF"/>
            <w:tcMar>
              <w:left w:w="70" w:type="dxa"/>
              <w:right w:w="70" w:type="dxa"/>
            </w:tcMar>
            <w:vAlign w:val="bottom"/>
          </w:tcPr>
          <w:p w14:paraId="71044A8D" w14:textId="77777777" w:rsidR="00CE2DD2" w:rsidRPr="007F3291" w:rsidRDefault="00A01FBF" w:rsidP="007F3291">
            <w:pPr>
              <w:spacing w:after="0" w:line="240" w:lineRule="auto"/>
              <w:jc w:val="right"/>
              <w:rPr>
                <w:rFonts w:ascii="Calibri" w:eastAsia="Calibri" w:hAnsi="Calibri" w:cs="Calibri"/>
                <w:lang w:val="en-GB"/>
              </w:rPr>
            </w:pPr>
            <w:r w:rsidRPr="007F3291">
              <w:rPr>
                <w:rFonts w:ascii="Calibri" w:eastAsia="Calibri" w:hAnsi="Calibri" w:cs="Calibri"/>
                <w:color w:val="000000"/>
                <w:lang w:val="en-GB"/>
              </w:rPr>
              <w:t>0</w:t>
            </w:r>
          </w:p>
        </w:tc>
        <w:tc>
          <w:tcPr>
            <w:tcW w:w="960" w:type="dxa"/>
            <w:tcBorders>
              <w:top w:val="single" w:sz="0" w:space="0" w:color="000000"/>
              <w:left w:val="single" w:sz="0" w:space="0" w:color="000000"/>
              <w:bottom w:val="single" w:sz="5" w:space="0" w:color="000000"/>
              <w:right w:val="single" w:sz="0" w:space="0" w:color="000000"/>
            </w:tcBorders>
            <w:shd w:val="clear" w:color="000000" w:fill="FFFFFF"/>
            <w:tcMar>
              <w:left w:w="70" w:type="dxa"/>
              <w:right w:w="70" w:type="dxa"/>
            </w:tcMar>
            <w:vAlign w:val="bottom"/>
          </w:tcPr>
          <w:p w14:paraId="4CACF736" w14:textId="77777777" w:rsidR="00CE2DD2" w:rsidRPr="00127E44" w:rsidRDefault="00A01FBF" w:rsidP="00127E44">
            <w:pPr>
              <w:spacing w:after="0" w:line="240" w:lineRule="auto"/>
              <w:jc w:val="right"/>
              <w:rPr>
                <w:rFonts w:ascii="Calibri" w:eastAsia="Calibri" w:hAnsi="Calibri" w:cs="Calibri"/>
                <w:i/>
                <w:lang w:val="en-GB"/>
              </w:rPr>
            </w:pPr>
            <w:r w:rsidRPr="00127E44">
              <w:rPr>
                <w:rFonts w:ascii="Calibri" w:eastAsia="Calibri" w:hAnsi="Calibri" w:cs="Calibri"/>
                <w:i/>
                <w:color w:val="000000"/>
                <w:lang w:val="en-GB"/>
              </w:rPr>
              <w:t>5</w:t>
            </w:r>
          </w:p>
        </w:tc>
      </w:tr>
    </w:tbl>
    <w:p w14:paraId="5005932A" w14:textId="77777777" w:rsidR="00CE2DD2" w:rsidRPr="007F3291" w:rsidRDefault="00CE2DD2" w:rsidP="007F3291">
      <w:pPr>
        <w:spacing w:after="0" w:line="240" w:lineRule="auto"/>
        <w:jc w:val="both"/>
        <w:rPr>
          <w:rFonts w:ascii="Calibri" w:eastAsia="Calibri" w:hAnsi="Calibri" w:cs="Calibri"/>
          <w:lang w:val="en-GB"/>
        </w:rPr>
      </w:pPr>
    </w:p>
    <w:p w14:paraId="00EB94CB" w14:textId="77777777" w:rsidR="00CE2DD2" w:rsidRPr="007F3291" w:rsidRDefault="00A01FBF" w:rsidP="007F3291">
      <w:pPr>
        <w:spacing w:after="0" w:line="240" w:lineRule="auto"/>
        <w:jc w:val="both"/>
        <w:rPr>
          <w:rFonts w:ascii="Times New Roman" w:eastAsia="Times New Roman" w:hAnsi="Times New Roman" w:cs="Times New Roman"/>
          <w:i/>
          <w:sz w:val="24"/>
          <w:lang w:val="en-GB"/>
        </w:rPr>
      </w:pPr>
      <w:r w:rsidRPr="007F3291">
        <w:rPr>
          <w:rFonts w:ascii="Times New Roman" w:eastAsia="Times New Roman" w:hAnsi="Times New Roman" w:cs="Times New Roman"/>
          <w:i/>
          <w:sz w:val="24"/>
          <w:lang w:val="en-GB"/>
        </w:rPr>
        <w:t>References</w:t>
      </w:r>
    </w:p>
    <w:p w14:paraId="68B7DDC0" w14:textId="77777777" w:rsidR="00CE2DD2" w:rsidRPr="007F3291" w:rsidRDefault="00CE2DD2" w:rsidP="007F3291">
      <w:pPr>
        <w:spacing w:after="0" w:line="240" w:lineRule="auto"/>
        <w:jc w:val="both"/>
        <w:rPr>
          <w:rFonts w:ascii="Calibri" w:eastAsia="Calibri" w:hAnsi="Calibri" w:cs="Calibri"/>
          <w:lang w:val="en-GB"/>
        </w:rPr>
      </w:pPr>
    </w:p>
    <w:p w14:paraId="70C2FCD1" w14:textId="77777777" w:rsidR="00CE2DD2" w:rsidRPr="007F3291" w:rsidRDefault="00A01FBF" w:rsidP="007F3291">
      <w:pPr>
        <w:spacing w:after="120" w:line="240" w:lineRule="auto"/>
        <w:ind w:left="720" w:hanging="720"/>
        <w:rPr>
          <w:rFonts w:ascii="Times New Roman" w:eastAsia="Times New Roman" w:hAnsi="Times New Roman" w:cs="Times New Roman"/>
          <w:lang w:val="en-GB"/>
        </w:rPr>
      </w:pPr>
      <w:r w:rsidRPr="007F3291">
        <w:rPr>
          <w:rFonts w:ascii="Times New Roman" w:eastAsia="Times New Roman" w:hAnsi="Times New Roman" w:cs="Times New Roman"/>
          <w:lang w:val="en-GB"/>
        </w:rPr>
        <w:t>EUROPOP 2013. European Population Projections, base year 2013, Eurostat.</w:t>
      </w:r>
    </w:p>
    <w:p w14:paraId="0369E314" w14:textId="254EE010" w:rsidR="00CE2DD2" w:rsidRPr="00AA614F" w:rsidRDefault="00A01FBF" w:rsidP="00AA614F">
      <w:pPr>
        <w:spacing w:after="120" w:line="240" w:lineRule="auto"/>
        <w:ind w:left="720" w:hanging="720"/>
        <w:rPr>
          <w:rFonts w:ascii="Times New Roman" w:hAnsi="Times New Roman" w:cs="Times New Roman"/>
        </w:rPr>
      </w:pPr>
      <w:r w:rsidRPr="00AA614F">
        <w:rPr>
          <w:rFonts w:ascii="Times New Roman" w:hAnsi="Times New Roman" w:cs="Times New Roman"/>
        </w:rPr>
        <w:t xml:space="preserve">EUROSTAT 2016. </w:t>
      </w:r>
      <w:r w:rsidRPr="00AA614F">
        <w:rPr>
          <w:rFonts w:ascii="Times New Roman" w:hAnsi="Times New Roman" w:cs="Times New Roman"/>
          <w:i/>
        </w:rPr>
        <w:t>Eurostat Statistics Database.</w:t>
      </w:r>
      <w:r w:rsidRPr="00AA614F">
        <w:rPr>
          <w:rFonts w:ascii="Times New Roman" w:hAnsi="Times New Roman" w:cs="Times New Roman"/>
        </w:rPr>
        <w:t xml:space="preserve"> Available at </w:t>
      </w:r>
      <w:hyperlink r:id="rId5">
        <w:r w:rsidRPr="00AA614F">
          <w:rPr>
            <w:rStyle w:val="Hyperlink"/>
            <w:rFonts w:ascii="Times New Roman" w:hAnsi="Times New Roman" w:cs="Times New Roman"/>
          </w:rPr>
          <w:t>http://epp.eurostat.ec.europa.eu</w:t>
        </w:r>
      </w:hyperlink>
      <w:r w:rsidRPr="00AA614F">
        <w:rPr>
          <w:rFonts w:ascii="Times New Roman" w:hAnsi="Times New Roman" w:cs="Times New Roman"/>
        </w:rPr>
        <w:t xml:space="preserve"> (data downloaded on 10.3.2016).</w:t>
      </w:r>
    </w:p>
    <w:p w14:paraId="10392134" w14:textId="77777777" w:rsidR="00CE2DD2" w:rsidRPr="00AA614F" w:rsidRDefault="00A01FBF" w:rsidP="00AA614F">
      <w:pPr>
        <w:spacing w:after="120" w:line="240" w:lineRule="auto"/>
        <w:ind w:left="720" w:hanging="720"/>
        <w:rPr>
          <w:rFonts w:ascii="Times New Roman" w:hAnsi="Times New Roman" w:cs="Times New Roman"/>
        </w:rPr>
      </w:pPr>
      <w:r w:rsidRPr="00AA614F">
        <w:rPr>
          <w:rFonts w:ascii="Times New Roman" w:hAnsi="Times New Roman" w:cs="Times New Roman"/>
        </w:rPr>
        <w:t xml:space="preserve">HFC 2016. Human Fertility Collection. Max Planck Institute for Demographic Research and Vienna Institute of Demography. Available at </w:t>
      </w:r>
      <w:hyperlink r:id="rId6">
        <w:r w:rsidRPr="00AA614F">
          <w:rPr>
            <w:rStyle w:val="Hyperlink"/>
            <w:rFonts w:ascii="Times New Roman" w:hAnsi="Times New Roman" w:cs="Times New Roman"/>
          </w:rPr>
          <w:t>http://www.fertilitydata.org</w:t>
        </w:r>
      </w:hyperlink>
      <w:r w:rsidRPr="00AA614F">
        <w:rPr>
          <w:rFonts w:ascii="Times New Roman" w:hAnsi="Times New Roman" w:cs="Times New Roman"/>
        </w:rPr>
        <w:t xml:space="preserve"> (data downloaded on 4.5.2016).</w:t>
      </w:r>
    </w:p>
    <w:p w14:paraId="7ABB7E6F" w14:textId="77777777" w:rsidR="00CE2DD2" w:rsidRPr="00AA614F" w:rsidRDefault="00A01FBF" w:rsidP="00AA614F">
      <w:pPr>
        <w:spacing w:after="120" w:line="240" w:lineRule="auto"/>
        <w:ind w:left="720" w:hanging="720"/>
        <w:rPr>
          <w:rFonts w:ascii="Times New Roman" w:hAnsi="Times New Roman" w:cs="Times New Roman"/>
        </w:rPr>
      </w:pPr>
      <w:r w:rsidRPr="00AA614F">
        <w:rPr>
          <w:rFonts w:ascii="Times New Roman" w:hAnsi="Times New Roman" w:cs="Times New Roman"/>
        </w:rPr>
        <w:t xml:space="preserve">INSEE 2016. </w:t>
      </w:r>
      <w:proofErr w:type="spellStart"/>
      <w:r w:rsidRPr="00AA614F">
        <w:rPr>
          <w:rFonts w:ascii="Times New Roman" w:hAnsi="Times New Roman" w:cs="Times New Roman"/>
        </w:rPr>
        <w:t>Institut</w:t>
      </w:r>
      <w:proofErr w:type="spellEnd"/>
      <w:r w:rsidRPr="00AA614F">
        <w:rPr>
          <w:rFonts w:ascii="Times New Roman" w:hAnsi="Times New Roman" w:cs="Times New Roman"/>
        </w:rPr>
        <w:t xml:space="preserve"> national de la </w:t>
      </w:r>
      <w:proofErr w:type="spellStart"/>
      <w:r w:rsidRPr="00AA614F">
        <w:rPr>
          <w:rFonts w:ascii="Times New Roman" w:hAnsi="Times New Roman" w:cs="Times New Roman"/>
        </w:rPr>
        <w:t>statistique</w:t>
      </w:r>
      <w:proofErr w:type="spellEnd"/>
      <w:r w:rsidRPr="00AA614F">
        <w:rPr>
          <w:rFonts w:ascii="Times New Roman" w:hAnsi="Times New Roman" w:cs="Times New Roman"/>
        </w:rPr>
        <w:t xml:space="preserve"> </w:t>
      </w:r>
      <w:proofErr w:type="gramStart"/>
      <w:r w:rsidRPr="00AA614F">
        <w:rPr>
          <w:rFonts w:ascii="Times New Roman" w:hAnsi="Times New Roman" w:cs="Times New Roman"/>
        </w:rPr>
        <w:t>et</w:t>
      </w:r>
      <w:proofErr w:type="gramEnd"/>
      <w:r w:rsidRPr="00AA614F">
        <w:rPr>
          <w:rFonts w:ascii="Times New Roman" w:hAnsi="Times New Roman" w:cs="Times New Roman"/>
        </w:rPr>
        <w:t xml:space="preserve"> des </w:t>
      </w:r>
      <w:proofErr w:type="spellStart"/>
      <w:r w:rsidRPr="00AA614F">
        <w:rPr>
          <w:rFonts w:ascii="Times New Roman" w:hAnsi="Times New Roman" w:cs="Times New Roman"/>
        </w:rPr>
        <w:t>études</w:t>
      </w:r>
      <w:proofErr w:type="spellEnd"/>
      <w:r w:rsidRPr="00AA614F">
        <w:rPr>
          <w:rFonts w:ascii="Times New Roman" w:hAnsi="Times New Roman" w:cs="Times New Roman"/>
        </w:rPr>
        <w:t xml:space="preserve"> </w:t>
      </w:r>
      <w:proofErr w:type="spellStart"/>
      <w:r w:rsidRPr="00AA614F">
        <w:rPr>
          <w:rFonts w:ascii="Times New Roman" w:hAnsi="Times New Roman" w:cs="Times New Roman"/>
        </w:rPr>
        <w:t>économiques</w:t>
      </w:r>
      <w:proofErr w:type="spellEnd"/>
      <w:r w:rsidRPr="00AA614F">
        <w:rPr>
          <w:rFonts w:ascii="Times New Roman" w:hAnsi="Times New Roman" w:cs="Times New Roman"/>
        </w:rPr>
        <w:t xml:space="preserve">. Online data available at </w:t>
      </w:r>
      <w:hyperlink r:id="rId7">
        <w:r w:rsidRPr="00AA614F">
          <w:rPr>
            <w:rStyle w:val="Hyperlink"/>
            <w:rFonts w:ascii="Times New Roman" w:hAnsi="Times New Roman" w:cs="Times New Roman"/>
          </w:rPr>
          <w:t>http://www.insee.fr</w:t>
        </w:r>
      </w:hyperlink>
      <w:r w:rsidRPr="00AA614F">
        <w:rPr>
          <w:rFonts w:ascii="Times New Roman" w:hAnsi="Times New Roman" w:cs="Times New Roman"/>
        </w:rPr>
        <w:t xml:space="preserve"> (data downloaded on 4.5.2016).</w:t>
      </w:r>
    </w:p>
    <w:p w14:paraId="2785C546" w14:textId="4D8F56F9" w:rsidR="00CE2DD2" w:rsidRPr="007F3291" w:rsidRDefault="00A01FBF" w:rsidP="00AA614F">
      <w:pPr>
        <w:spacing w:after="120" w:line="240" w:lineRule="auto"/>
        <w:ind w:left="720" w:hanging="720"/>
        <w:rPr>
          <w:rFonts w:ascii="Times New Roman" w:eastAsia="Times New Roman" w:hAnsi="Times New Roman" w:cs="Times New Roman"/>
          <w:lang w:val="en-GB"/>
        </w:rPr>
      </w:pPr>
      <w:r w:rsidRPr="007F3291">
        <w:rPr>
          <w:rFonts w:ascii="Times New Roman" w:eastAsia="Times New Roman" w:hAnsi="Times New Roman" w:cs="Times New Roman"/>
          <w:lang w:val="en-GB"/>
        </w:rPr>
        <w:t xml:space="preserve">Lutz, W., W. P. </w:t>
      </w:r>
      <w:proofErr w:type="spellStart"/>
      <w:r w:rsidR="00DB28F8" w:rsidRPr="007F3291">
        <w:rPr>
          <w:rFonts w:ascii="Times New Roman" w:eastAsia="Times New Roman" w:hAnsi="Times New Roman" w:cs="Times New Roman"/>
          <w:lang w:val="en-GB"/>
        </w:rPr>
        <w:t>Butz</w:t>
      </w:r>
      <w:proofErr w:type="spellEnd"/>
      <w:r w:rsidR="00DB28F8" w:rsidRPr="007F3291">
        <w:rPr>
          <w:rFonts w:ascii="Times New Roman" w:eastAsia="Times New Roman" w:hAnsi="Times New Roman" w:cs="Times New Roman"/>
          <w:lang w:val="en-GB"/>
        </w:rPr>
        <w:t xml:space="preserve"> and</w:t>
      </w:r>
      <w:r w:rsidRPr="007F3291">
        <w:rPr>
          <w:rFonts w:ascii="Times New Roman" w:eastAsia="Times New Roman" w:hAnsi="Times New Roman" w:cs="Times New Roman"/>
          <w:lang w:val="en-GB"/>
        </w:rPr>
        <w:t xml:space="preserve"> </w:t>
      </w:r>
      <w:r w:rsidR="00DB28F8" w:rsidRPr="007F3291">
        <w:rPr>
          <w:rFonts w:ascii="Times New Roman" w:eastAsia="Times New Roman" w:hAnsi="Times New Roman" w:cs="Times New Roman"/>
          <w:lang w:val="en-GB"/>
        </w:rPr>
        <w:t xml:space="preserve">S. </w:t>
      </w:r>
      <w:r w:rsidRPr="007F3291">
        <w:rPr>
          <w:rFonts w:ascii="Times New Roman" w:eastAsia="Times New Roman" w:hAnsi="Times New Roman" w:cs="Times New Roman"/>
          <w:lang w:val="en-GB"/>
        </w:rPr>
        <w:t>KC. (Eds.) 2014</w:t>
      </w:r>
      <w:r w:rsidR="00883E2D" w:rsidRPr="007F3291">
        <w:rPr>
          <w:rFonts w:ascii="Times New Roman" w:eastAsia="Times New Roman" w:hAnsi="Times New Roman" w:cs="Times New Roman"/>
          <w:lang w:val="en-GB"/>
        </w:rPr>
        <w:t>.</w:t>
      </w:r>
      <w:r w:rsidRPr="007F3291">
        <w:rPr>
          <w:rFonts w:ascii="Times New Roman" w:eastAsia="Times New Roman" w:hAnsi="Times New Roman" w:cs="Times New Roman"/>
          <w:lang w:val="en-GB"/>
        </w:rPr>
        <w:t xml:space="preserve"> </w:t>
      </w:r>
      <w:r w:rsidRPr="007F3291">
        <w:rPr>
          <w:rFonts w:ascii="Times New Roman" w:eastAsia="Times New Roman" w:hAnsi="Times New Roman" w:cs="Times New Roman"/>
        </w:rPr>
        <w:t>World Population and Human Capital in the 21st Century</w:t>
      </w:r>
      <w:r w:rsidRPr="007F3291">
        <w:rPr>
          <w:rFonts w:ascii="Times New Roman" w:eastAsia="Times New Roman" w:hAnsi="Times New Roman" w:cs="Times New Roman"/>
          <w:lang w:val="en-GB"/>
        </w:rPr>
        <w:t>. Oxford: Oxford University Press.</w:t>
      </w:r>
    </w:p>
    <w:p w14:paraId="51EDCC9F" w14:textId="77777777" w:rsidR="00CE2DD2" w:rsidRPr="007F3291" w:rsidRDefault="00A01FBF" w:rsidP="00AA614F">
      <w:pPr>
        <w:spacing w:after="120" w:line="240" w:lineRule="auto"/>
        <w:ind w:left="720" w:hanging="720"/>
        <w:rPr>
          <w:rFonts w:ascii="Times New Roman" w:eastAsia="Times New Roman" w:hAnsi="Times New Roman" w:cs="Times New Roman"/>
          <w:lang w:val="en-GB"/>
        </w:rPr>
      </w:pPr>
      <w:r w:rsidRPr="007F3291">
        <w:rPr>
          <w:rFonts w:ascii="Times New Roman" w:eastAsia="Times New Roman" w:hAnsi="Times New Roman" w:cs="Times New Roman"/>
          <w:lang w:val="en-GB"/>
        </w:rPr>
        <w:t xml:space="preserve">Lutz, W., W. Sanderson, and S. </w:t>
      </w:r>
      <w:proofErr w:type="spellStart"/>
      <w:r w:rsidRPr="007F3291">
        <w:rPr>
          <w:rFonts w:ascii="Times New Roman" w:eastAsia="Times New Roman" w:hAnsi="Times New Roman" w:cs="Times New Roman"/>
          <w:lang w:val="en-GB"/>
        </w:rPr>
        <w:t>Scherbov</w:t>
      </w:r>
      <w:proofErr w:type="spellEnd"/>
      <w:r w:rsidRPr="007F3291">
        <w:rPr>
          <w:rFonts w:ascii="Times New Roman" w:eastAsia="Times New Roman" w:hAnsi="Times New Roman" w:cs="Times New Roman"/>
          <w:lang w:val="en-GB"/>
        </w:rPr>
        <w:t xml:space="preserve">. 1997. “Doubling of world population unlikely.” </w:t>
      </w:r>
      <w:r w:rsidRPr="007F3291">
        <w:rPr>
          <w:rFonts w:ascii="Times New Roman" w:eastAsia="Times New Roman" w:hAnsi="Times New Roman" w:cs="Times New Roman"/>
          <w:i/>
          <w:lang w:val="en-GB"/>
        </w:rPr>
        <w:t>Nature</w:t>
      </w:r>
      <w:r w:rsidRPr="007F3291">
        <w:rPr>
          <w:rFonts w:ascii="Times New Roman" w:eastAsia="Times New Roman" w:hAnsi="Times New Roman" w:cs="Times New Roman"/>
          <w:lang w:val="en-GB"/>
        </w:rPr>
        <w:t xml:space="preserve"> 387: 803–805.</w:t>
      </w:r>
    </w:p>
    <w:p w14:paraId="0504CA53" w14:textId="77777777" w:rsidR="00883E2D" w:rsidRPr="007F3291" w:rsidRDefault="00883E2D" w:rsidP="00AA614F">
      <w:pPr>
        <w:spacing w:after="120" w:line="240" w:lineRule="auto"/>
        <w:ind w:left="720" w:hanging="720"/>
        <w:rPr>
          <w:rFonts w:ascii="Times New Roman" w:eastAsia="Times New Roman" w:hAnsi="Times New Roman" w:cs="Times New Roman"/>
          <w:lang w:val="en-GB"/>
        </w:rPr>
      </w:pPr>
      <w:proofErr w:type="spellStart"/>
      <w:r w:rsidRPr="007F3291">
        <w:rPr>
          <w:rFonts w:ascii="Times New Roman" w:eastAsia="Times New Roman" w:hAnsi="Times New Roman" w:cs="Times New Roman"/>
          <w:lang w:val="en-GB"/>
        </w:rPr>
        <w:t>Oeppen</w:t>
      </w:r>
      <w:proofErr w:type="spellEnd"/>
      <w:r w:rsidRPr="007F3291">
        <w:rPr>
          <w:rFonts w:ascii="Times New Roman" w:eastAsia="Times New Roman" w:hAnsi="Times New Roman" w:cs="Times New Roman"/>
          <w:lang w:val="en-GB"/>
        </w:rPr>
        <w:t xml:space="preserve">, J. and J. W. </w:t>
      </w:r>
      <w:proofErr w:type="spellStart"/>
      <w:r w:rsidRPr="007F3291">
        <w:rPr>
          <w:rFonts w:ascii="Times New Roman" w:eastAsia="Times New Roman" w:hAnsi="Times New Roman" w:cs="Times New Roman"/>
          <w:lang w:val="en-GB"/>
        </w:rPr>
        <w:t>Vaupel</w:t>
      </w:r>
      <w:proofErr w:type="spellEnd"/>
      <w:r w:rsidRPr="007F3291">
        <w:rPr>
          <w:rFonts w:ascii="Times New Roman" w:eastAsia="Times New Roman" w:hAnsi="Times New Roman" w:cs="Times New Roman"/>
          <w:lang w:val="en-GB"/>
        </w:rPr>
        <w:t xml:space="preserve">. 2002. “Broken limits to life expectancy.” </w:t>
      </w:r>
      <w:r w:rsidRPr="007F3291">
        <w:rPr>
          <w:rFonts w:ascii="Times New Roman" w:eastAsia="Times New Roman" w:hAnsi="Times New Roman" w:cs="Times New Roman"/>
          <w:i/>
          <w:lang w:val="en-GB"/>
        </w:rPr>
        <w:t>Science</w:t>
      </w:r>
      <w:r w:rsidRPr="007F3291">
        <w:rPr>
          <w:rFonts w:ascii="Times New Roman" w:eastAsia="Times New Roman" w:hAnsi="Times New Roman" w:cs="Times New Roman"/>
          <w:lang w:val="en-GB"/>
        </w:rPr>
        <w:t xml:space="preserve"> 296: 1029</w:t>
      </w:r>
      <w:r w:rsidRPr="007F3291">
        <w:rPr>
          <w:rFonts w:ascii="MS Mincho" w:eastAsia="Times New Roman" w:hAnsi="MS Mincho" w:cs="MS Mincho"/>
          <w:lang w:val="en-GB"/>
        </w:rPr>
        <w:t>‑</w:t>
      </w:r>
      <w:r w:rsidRPr="007F3291">
        <w:rPr>
          <w:rFonts w:ascii="Times New Roman" w:eastAsia="Times New Roman" w:hAnsi="Times New Roman" w:cs="Times New Roman"/>
          <w:lang w:val="en-GB"/>
        </w:rPr>
        <w:t>1031.</w:t>
      </w:r>
    </w:p>
    <w:p w14:paraId="174C691C" w14:textId="0D2BB9B6" w:rsidR="00883E2D" w:rsidRPr="007F3291" w:rsidRDefault="00883E2D" w:rsidP="00AA614F">
      <w:pPr>
        <w:spacing w:after="120" w:line="240" w:lineRule="auto"/>
        <w:ind w:left="720" w:hanging="720"/>
        <w:rPr>
          <w:rFonts w:ascii="Times New Roman" w:eastAsia="Times New Roman" w:hAnsi="Times New Roman" w:cs="Times New Roman"/>
          <w:lang w:val="en-GB"/>
        </w:rPr>
      </w:pPr>
      <w:proofErr w:type="spellStart"/>
      <w:r w:rsidRPr="007F3291">
        <w:rPr>
          <w:rFonts w:ascii="Times New Roman" w:eastAsia="Times New Roman" w:hAnsi="Times New Roman" w:cs="Times New Roman"/>
          <w:lang w:val="en-GB"/>
        </w:rPr>
        <w:t>Penina</w:t>
      </w:r>
      <w:proofErr w:type="spellEnd"/>
      <w:r w:rsidRPr="007F3291">
        <w:rPr>
          <w:rFonts w:ascii="Times New Roman" w:eastAsia="Times New Roman" w:hAnsi="Times New Roman" w:cs="Times New Roman"/>
          <w:lang w:val="en-GB"/>
        </w:rPr>
        <w:t>, O</w:t>
      </w:r>
      <w:r w:rsidR="00B61920" w:rsidRPr="007F3291">
        <w:rPr>
          <w:rFonts w:ascii="Times New Roman" w:eastAsia="Times New Roman" w:hAnsi="Times New Roman" w:cs="Times New Roman"/>
          <w:lang w:val="en-GB"/>
        </w:rPr>
        <w:t xml:space="preserve">., </w:t>
      </w:r>
      <w:r w:rsidR="00DB28F8" w:rsidRPr="007F3291">
        <w:rPr>
          <w:rFonts w:ascii="Times New Roman" w:eastAsia="Times New Roman" w:hAnsi="Times New Roman" w:cs="Times New Roman"/>
          <w:lang w:val="en-GB"/>
        </w:rPr>
        <w:t xml:space="preserve">D. A. </w:t>
      </w:r>
      <w:proofErr w:type="spellStart"/>
      <w:r w:rsidR="00DB28F8" w:rsidRPr="007F3291">
        <w:rPr>
          <w:rFonts w:ascii="Times New Roman" w:eastAsia="Times New Roman" w:hAnsi="Times New Roman" w:cs="Times New Roman"/>
          <w:lang w:val="en-GB"/>
        </w:rPr>
        <w:t>Jdanov</w:t>
      </w:r>
      <w:proofErr w:type="spellEnd"/>
      <w:r w:rsidR="00DB28F8" w:rsidRPr="007F3291">
        <w:rPr>
          <w:rFonts w:ascii="Times New Roman" w:eastAsia="Times New Roman" w:hAnsi="Times New Roman" w:cs="Times New Roman"/>
          <w:lang w:val="en-GB"/>
        </w:rPr>
        <w:t xml:space="preserve"> and</w:t>
      </w:r>
      <w:r w:rsidR="00B61920" w:rsidRPr="007F3291">
        <w:rPr>
          <w:rFonts w:ascii="Times New Roman" w:eastAsia="Times New Roman" w:hAnsi="Times New Roman" w:cs="Times New Roman"/>
          <w:lang w:val="en-GB"/>
        </w:rPr>
        <w:t xml:space="preserve"> </w:t>
      </w:r>
      <w:r w:rsidR="00BB12D8" w:rsidRPr="007F3291">
        <w:rPr>
          <w:rFonts w:ascii="Times New Roman" w:eastAsia="Times New Roman" w:hAnsi="Times New Roman" w:cs="Times New Roman"/>
          <w:lang w:val="en-GB"/>
        </w:rPr>
        <w:t xml:space="preserve">P. </w:t>
      </w:r>
      <w:proofErr w:type="spellStart"/>
      <w:r w:rsidR="00B61920" w:rsidRPr="007F3291">
        <w:rPr>
          <w:rFonts w:ascii="Times New Roman" w:eastAsia="Times New Roman" w:hAnsi="Times New Roman" w:cs="Times New Roman"/>
          <w:lang w:val="en-GB"/>
        </w:rPr>
        <w:t>Grigoriev</w:t>
      </w:r>
      <w:proofErr w:type="spellEnd"/>
      <w:r w:rsidR="00B61920" w:rsidRPr="007F3291">
        <w:rPr>
          <w:rFonts w:ascii="Times New Roman" w:eastAsia="Times New Roman" w:hAnsi="Times New Roman" w:cs="Times New Roman"/>
          <w:lang w:val="en-GB"/>
        </w:rPr>
        <w:t>.</w:t>
      </w:r>
      <w:r w:rsidRPr="007F3291">
        <w:rPr>
          <w:rFonts w:ascii="Times New Roman" w:eastAsia="Times New Roman" w:hAnsi="Times New Roman" w:cs="Times New Roman"/>
          <w:lang w:val="en-GB"/>
        </w:rPr>
        <w:t xml:space="preserve"> 2015, "Producing reliable mortality estimates in the context of distorted population statistics: the case of Moldova", MPIDR WP 2015-011.</w:t>
      </w:r>
    </w:p>
    <w:p w14:paraId="7F173A64" w14:textId="7403F7D3" w:rsidR="00CE2DD2" w:rsidRPr="00AA614F" w:rsidRDefault="00A01FBF" w:rsidP="00AA614F">
      <w:pPr>
        <w:spacing w:after="120" w:line="240" w:lineRule="auto"/>
        <w:ind w:left="720" w:hanging="720"/>
        <w:rPr>
          <w:rFonts w:ascii="Times New Roman" w:hAnsi="Times New Roman" w:cs="Times New Roman"/>
        </w:rPr>
      </w:pPr>
      <w:r w:rsidRPr="00AA614F">
        <w:rPr>
          <w:rFonts w:ascii="Times New Roman" w:hAnsi="Times New Roman" w:cs="Times New Roman"/>
        </w:rPr>
        <w:t>Russian Fertility and Mortality Database</w:t>
      </w:r>
      <w:r w:rsidR="00B61920" w:rsidRPr="00AA614F">
        <w:rPr>
          <w:rFonts w:ascii="Times New Roman" w:hAnsi="Times New Roman" w:cs="Times New Roman"/>
        </w:rPr>
        <w:t>.</w:t>
      </w:r>
      <w:r w:rsidRPr="00AA614F">
        <w:rPr>
          <w:rFonts w:ascii="Times New Roman" w:hAnsi="Times New Roman" w:cs="Times New Roman"/>
        </w:rPr>
        <w:t xml:space="preserve"> 2016. Available at: </w:t>
      </w:r>
      <w:hyperlink r:id="rId8">
        <w:r w:rsidRPr="00AA614F">
          <w:rPr>
            <w:rStyle w:val="Hyperlink"/>
            <w:rFonts w:ascii="Times New Roman" w:hAnsi="Times New Roman" w:cs="Times New Roman"/>
          </w:rPr>
          <w:t>http://demogr.nes.ru/index.php/en/demogr_indicat</w:t>
        </w:r>
      </w:hyperlink>
      <w:r w:rsidRPr="00AA614F">
        <w:rPr>
          <w:rFonts w:ascii="Times New Roman" w:hAnsi="Times New Roman" w:cs="Times New Roman"/>
        </w:rPr>
        <w:t xml:space="preserve"> (data downloaded on 10.3.2016).</w:t>
      </w:r>
    </w:p>
    <w:p w14:paraId="324C6A2E" w14:textId="77777777" w:rsidR="00883E2D" w:rsidRPr="007F3291" w:rsidRDefault="00883E2D" w:rsidP="00AA614F">
      <w:pPr>
        <w:spacing w:after="120" w:line="240" w:lineRule="auto"/>
        <w:ind w:left="720" w:hanging="720"/>
        <w:rPr>
          <w:rFonts w:ascii="Times New Roman" w:eastAsia="Times New Roman" w:hAnsi="Times New Roman" w:cs="Times New Roman"/>
          <w:lang w:val="en-GB"/>
        </w:rPr>
      </w:pPr>
      <w:r w:rsidRPr="007F3291">
        <w:rPr>
          <w:rFonts w:ascii="Times New Roman" w:eastAsia="Times New Roman" w:hAnsi="Times New Roman" w:cs="Times New Roman"/>
          <w:lang w:val="en-GB"/>
        </w:rPr>
        <w:t xml:space="preserve">Sanderson, W. and S. </w:t>
      </w:r>
      <w:proofErr w:type="spellStart"/>
      <w:r w:rsidRPr="007F3291">
        <w:rPr>
          <w:rFonts w:ascii="Times New Roman" w:eastAsia="Times New Roman" w:hAnsi="Times New Roman" w:cs="Times New Roman"/>
          <w:lang w:val="en-GB"/>
        </w:rPr>
        <w:t>Scherbov</w:t>
      </w:r>
      <w:proofErr w:type="spellEnd"/>
      <w:r w:rsidRPr="007F3291">
        <w:rPr>
          <w:rFonts w:ascii="Times New Roman" w:eastAsia="Times New Roman" w:hAnsi="Times New Roman" w:cs="Times New Roman"/>
          <w:lang w:val="en-GB"/>
        </w:rPr>
        <w:t xml:space="preserve">. 2004. “Putting </w:t>
      </w:r>
      <w:proofErr w:type="spellStart"/>
      <w:r w:rsidRPr="007F3291">
        <w:rPr>
          <w:rFonts w:ascii="Times New Roman" w:eastAsia="Times New Roman" w:hAnsi="Times New Roman" w:cs="Times New Roman"/>
          <w:lang w:val="en-GB"/>
        </w:rPr>
        <w:t>Oeppen</w:t>
      </w:r>
      <w:proofErr w:type="spellEnd"/>
      <w:r w:rsidRPr="007F3291">
        <w:rPr>
          <w:rFonts w:ascii="Times New Roman" w:eastAsia="Times New Roman" w:hAnsi="Times New Roman" w:cs="Times New Roman"/>
          <w:lang w:val="en-GB"/>
        </w:rPr>
        <w:t xml:space="preserve"> and </w:t>
      </w:r>
      <w:proofErr w:type="spellStart"/>
      <w:r w:rsidRPr="007F3291">
        <w:rPr>
          <w:rFonts w:ascii="Times New Roman" w:eastAsia="Times New Roman" w:hAnsi="Times New Roman" w:cs="Times New Roman"/>
          <w:lang w:val="en-GB"/>
        </w:rPr>
        <w:t>Vaupel</w:t>
      </w:r>
      <w:proofErr w:type="spellEnd"/>
      <w:r w:rsidRPr="007F3291">
        <w:rPr>
          <w:rFonts w:ascii="Times New Roman" w:eastAsia="Times New Roman" w:hAnsi="Times New Roman" w:cs="Times New Roman"/>
          <w:lang w:val="en-GB"/>
        </w:rPr>
        <w:t xml:space="preserve"> to work: On the road to new stochastic mortality forecasts.” </w:t>
      </w:r>
      <w:r w:rsidRPr="007F3291">
        <w:rPr>
          <w:rFonts w:ascii="Times New Roman" w:eastAsia="Times New Roman" w:hAnsi="Times New Roman" w:cs="Times New Roman"/>
          <w:i/>
          <w:lang w:val="en-GB"/>
        </w:rPr>
        <w:t>IIASA Interim Report IR–04–049</w:t>
      </w:r>
      <w:r w:rsidRPr="007F3291">
        <w:rPr>
          <w:rFonts w:ascii="Times New Roman" w:eastAsia="Times New Roman" w:hAnsi="Times New Roman" w:cs="Times New Roman"/>
          <w:lang w:val="en-GB"/>
        </w:rPr>
        <w:t xml:space="preserve">, </w:t>
      </w:r>
      <w:proofErr w:type="spellStart"/>
      <w:r w:rsidRPr="007F3291">
        <w:rPr>
          <w:rFonts w:ascii="Times New Roman" w:eastAsia="Times New Roman" w:hAnsi="Times New Roman" w:cs="Times New Roman"/>
          <w:lang w:val="en-GB"/>
        </w:rPr>
        <w:t>Laxenburg</w:t>
      </w:r>
      <w:proofErr w:type="spellEnd"/>
      <w:r w:rsidRPr="007F3291">
        <w:rPr>
          <w:rFonts w:ascii="Times New Roman" w:eastAsia="Times New Roman" w:hAnsi="Times New Roman" w:cs="Times New Roman"/>
          <w:lang w:val="en-GB"/>
        </w:rPr>
        <w:t>, IIASA.</w:t>
      </w:r>
    </w:p>
    <w:p w14:paraId="6D119BA1" w14:textId="56CDE60E" w:rsidR="00420EC8" w:rsidRPr="00420EC8" w:rsidRDefault="00420EC8" w:rsidP="00AA614F">
      <w:pPr>
        <w:spacing w:after="120" w:line="240" w:lineRule="auto"/>
        <w:ind w:left="720" w:hanging="720"/>
        <w:rPr>
          <w:rFonts w:ascii="Times New Roman" w:eastAsia="Times New Roman" w:hAnsi="Times New Roman" w:cs="Times New Roman"/>
          <w:lang w:val="en-GB"/>
        </w:rPr>
      </w:pPr>
      <w:r w:rsidRPr="007F3291">
        <w:rPr>
          <w:rFonts w:ascii="Times New Roman" w:hAnsi="Times New Roman" w:cs="Times New Roman"/>
        </w:rPr>
        <w:t>United Nations, Department of Economic and Socia</w:t>
      </w:r>
      <w:r w:rsidR="007F3291">
        <w:rPr>
          <w:rFonts w:ascii="Times New Roman" w:hAnsi="Times New Roman" w:cs="Times New Roman"/>
        </w:rPr>
        <w:t xml:space="preserve">l Affairs, Population Division. </w:t>
      </w:r>
      <w:r w:rsidRPr="007F3291">
        <w:rPr>
          <w:rFonts w:ascii="Times New Roman" w:hAnsi="Times New Roman" w:cs="Times New Roman"/>
        </w:rPr>
        <w:t>2015. World Population Prospects: The 2015 Revision, DVD Edition.</w:t>
      </w:r>
    </w:p>
    <w:p w14:paraId="514C42F2" w14:textId="77777777" w:rsidR="00CE2DD2" w:rsidRPr="00207172" w:rsidRDefault="00CE2DD2" w:rsidP="00AA614F">
      <w:pPr>
        <w:spacing w:after="120" w:line="240" w:lineRule="auto"/>
        <w:jc w:val="both"/>
        <w:rPr>
          <w:rFonts w:ascii="Calibri" w:eastAsia="Calibri" w:hAnsi="Calibri" w:cs="Calibri"/>
          <w:lang w:val="en-GB"/>
        </w:rPr>
      </w:pPr>
    </w:p>
    <w:sectPr w:rsidR="00CE2DD2" w:rsidRPr="00207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D2"/>
    <w:rsid w:val="00015257"/>
    <w:rsid w:val="00097875"/>
    <w:rsid w:val="00115FD0"/>
    <w:rsid w:val="00127E44"/>
    <w:rsid w:val="001C60BE"/>
    <w:rsid w:val="001F2D67"/>
    <w:rsid w:val="00207172"/>
    <w:rsid w:val="002D60CE"/>
    <w:rsid w:val="00336F06"/>
    <w:rsid w:val="00420EC8"/>
    <w:rsid w:val="00446392"/>
    <w:rsid w:val="004912ED"/>
    <w:rsid w:val="004C1CDC"/>
    <w:rsid w:val="004C5801"/>
    <w:rsid w:val="004E3D99"/>
    <w:rsid w:val="005A74AB"/>
    <w:rsid w:val="006050A4"/>
    <w:rsid w:val="00642E58"/>
    <w:rsid w:val="00656BEB"/>
    <w:rsid w:val="006E0DEE"/>
    <w:rsid w:val="00724D00"/>
    <w:rsid w:val="007D7294"/>
    <w:rsid w:val="007F3291"/>
    <w:rsid w:val="00846C67"/>
    <w:rsid w:val="00883E2D"/>
    <w:rsid w:val="00894A88"/>
    <w:rsid w:val="008B199F"/>
    <w:rsid w:val="00942A01"/>
    <w:rsid w:val="009775D2"/>
    <w:rsid w:val="009E178D"/>
    <w:rsid w:val="00A01FBF"/>
    <w:rsid w:val="00A64677"/>
    <w:rsid w:val="00AA614F"/>
    <w:rsid w:val="00AB6E7F"/>
    <w:rsid w:val="00AE4D8E"/>
    <w:rsid w:val="00B61920"/>
    <w:rsid w:val="00BA5394"/>
    <w:rsid w:val="00BB12D8"/>
    <w:rsid w:val="00BE5E61"/>
    <w:rsid w:val="00C469F1"/>
    <w:rsid w:val="00CE2DD2"/>
    <w:rsid w:val="00CE3C0A"/>
    <w:rsid w:val="00DB28F8"/>
    <w:rsid w:val="00DC757F"/>
    <w:rsid w:val="00DF24BB"/>
    <w:rsid w:val="00E308C9"/>
    <w:rsid w:val="00F6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A7BE"/>
  <w15:docId w15:val="{DD4FD884-D9F2-4D6F-8C7C-AC3F9CED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6BEB"/>
    <w:rPr>
      <w:sz w:val="16"/>
      <w:szCs w:val="16"/>
    </w:rPr>
  </w:style>
  <w:style w:type="paragraph" w:styleId="CommentText">
    <w:name w:val="annotation text"/>
    <w:basedOn w:val="Normal"/>
    <w:link w:val="CommentTextChar"/>
    <w:uiPriority w:val="99"/>
    <w:semiHidden/>
    <w:unhideWhenUsed/>
    <w:rsid w:val="00656BEB"/>
    <w:pPr>
      <w:spacing w:line="240" w:lineRule="auto"/>
    </w:pPr>
    <w:rPr>
      <w:sz w:val="20"/>
      <w:szCs w:val="20"/>
    </w:rPr>
  </w:style>
  <w:style w:type="character" w:customStyle="1" w:styleId="CommentTextChar">
    <w:name w:val="Comment Text Char"/>
    <w:basedOn w:val="DefaultParagraphFont"/>
    <w:link w:val="CommentText"/>
    <w:uiPriority w:val="99"/>
    <w:semiHidden/>
    <w:rsid w:val="00656BEB"/>
    <w:rPr>
      <w:sz w:val="20"/>
      <w:szCs w:val="20"/>
    </w:rPr>
  </w:style>
  <w:style w:type="paragraph" w:styleId="CommentSubject">
    <w:name w:val="annotation subject"/>
    <w:basedOn w:val="CommentText"/>
    <w:next w:val="CommentText"/>
    <w:link w:val="CommentSubjectChar"/>
    <w:uiPriority w:val="99"/>
    <w:semiHidden/>
    <w:unhideWhenUsed/>
    <w:rsid w:val="00656BEB"/>
    <w:rPr>
      <w:b/>
      <w:bCs/>
    </w:rPr>
  </w:style>
  <w:style w:type="character" w:customStyle="1" w:styleId="CommentSubjectChar">
    <w:name w:val="Comment Subject Char"/>
    <w:basedOn w:val="CommentTextChar"/>
    <w:link w:val="CommentSubject"/>
    <w:uiPriority w:val="99"/>
    <w:semiHidden/>
    <w:rsid w:val="00656BEB"/>
    <w:rPr>
      <w:b/>
      <w:bCs/>
      <w:sz w:val="20"/>
      <w:szCs w:val="20"/>
    </w:rPr>
  </w:style>
  <w:style w:type="paragraph" w:styleId="BalloonText">
    <w:name w:val="Balloon Text"/>
    <w:basedOn w:val="Normal"/>
    <w:link w:val="BalloonTextChar"/>
    <w:uiPriority w:val="99"/>
    <w:semiHidden/>
    <w:unhideWhenUsed/>
    <w:rsid w:val="0065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BEB"/>
    <w:rPr>
      <w:rFonts w:ascii="Tahoma" w:hAnsi="Tahoma" w:cs="Tahoma"/>
      <w:sz w:val="16"/>
      <w:szCs w:val="16"/>
    </w:rPr>
  </w:style>
  <w:style w:type="character" w:styleId="Hyperlink">
    <w:name w:val="Hyperlink"/>
    <w:basedOn w:val="DefaultParagraphFont"/>
    <w:uiPriority w:val="99"/>
    <w:unhideWhenUsed/>
    <w:rsid w:val="00AA6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73630">
      <w:bodyDiv w:val="1"/>
      <w:marLeft w:val="0"/>
      <w:marRight w:val="0"/>
      <w:marTop w:val="0"/>
      <w:marBottom w:val="0"/>
      <w:divBdr>
        <w:top w:val="none" w:sz="0" w:space="0" w:color="auto"/>
        <w:left w:val="none" w:sz="0" w:space="0" w:color="auto"/>
        <w:bottom w:val="none" w:sz="0" w:space="0" w:color="auto"/>
        <w:right w:val="none" w:sz="0" w:space="0" w:color="auto"/>
      </w:divBdr>
    </w:div>
    <w:div w:id="654726179">
      <w:bodyDiv w:val="1"/>
      <w:marLeft w:val="0"/>
      <w:marRight w:val="0"/>
      <w:marTop w:val="0"/>
      <w:marBottom w:val="0"/>
      <w:divBdr>
        <w:top w:val="none" w:sz="0" w:space="0" w:color="auto"/>
        <w:left w:val="none" w:sz="0" w:space="0" w:color="auto"/>
        <w:bottom w:val="none" w:sz="0" w:space="0" w:color="auto"/>
        <w:right w:val="none" w:sz="0" w:space="0" w:color="auto"/>
      </w:divBdr>
    </w:div>
    <w:div w:id="214230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r.nes.ru/index.php/en/demogr_indicat" TargetMode="External"/><Relationship Id="rId3" Type="http://schemas.openxmlformats.org/officeDocument/2006/relationships/settings" Target="settings.xml"/><Relationship Id="rId7" Type="http://schemas.openxmlformats.org/officeDocument/2006/relationships/hyperlink" Target="http://www.inse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ertilitydata.org/" TargetMode="External"/><Relationship Id="rId5" Type="http://schemas.openxmlformats.org/officeDocument/2006/relationships/hyperlink" Target="http://epp.eurostat.ec.europa.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42CB-3BBD-4DA7-B9E4-95840380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1569</Words>
  <Characters>9886</Characters>
  <Application>Microsoft Office Word</Application>
  <DocSecurity>0</DocSecurity>
  <Lines>82</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Potancokova, Michaela</dc:creator>
  <cp:lastModifiedBy>Potancokova, Michaela</cp:lastModifiedBy>
  <cp:revision>4</cp:revision>
  <dcterms:created xsi:type="dcterms:W3CDTF">2016-08-18T11:31:00Z</dcterms:created>
  <dcterms:modified xsi:type="dcterms:W3CDTF">2016-08-18T11:31:00Z</dcterms:modified>
</cp:coreProperties>
</file>